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AEC32" w14:textId="77777777" w:rsidR="006C2159" w:rsidRPr="006C2159" w:rsidRDefault="006C2159" w:rsidP="006C2159">
      <w:pPr>
        <w:spacing w:after="0" w:line="240" w:lineRule="auto"/>
        <w:jc w:val="right"/>
        <w:rPr>
          <w:rFonts w:ascii="Times New Roman" w:hAnsi="Times New Roman" w:cs="Times New Roman"/>
          <w:noProof/>
          <w:sz w:val="24"/>
          <w:szCs w:val="24"/>
        </w:rPr>
      </w:pPr>
      <w:r w:rsidRPr="006C2159">
        <w:rPr>
          <w:rFonts w:ascii="Times New Roman" w:hAnsi="Times New Roman" w:cs="Times New Roman"/>
          <w:noProof/>
          <w:sz w:val="24"/>
          <w:szCs w:val="24"/>
        </w:rPr>
        <w:t>Lisa 5</w:t>
      </w:r>
    </w:p>
    <w:p w14:paraId="686405D7" w14:textId="77777777" w:rsidR="006C2159" w:rsidRPr="006C2159" w:rsidRDefault="006C2159" w:rsidP="006C2159">
      <w:pPr>
        <w:spacing w:after="0" w:line="240" w:lineRule="auto"/>
        <w:jc w:val="center"/>
        <w:rPr>
          <w:rFonts w:ascii="Times New Roman" w:hAnsi="Times New Roman" w:cs="Times New Roman"/>
          <w:b/>
          <w:noProof/>
          <w:sz w:val="24"/>
          <w:szCs w:val="24"/>
        </w:rPr>
      </w:pPr>
      <w:r w:rsidRPr="006C2159">
        <w:rPr>
          <w:rFonts w:ascii="Times New Roman" w:hAnsi="Times New Roman" w:cs="Times New Roman"/>
          <w:b/>
          <w:noProof/>
          <w:sz w:val="24"/>
          <w:szCs w:val="24"/>
        </w:rPr>
        <w:t>AKT</w:t>
      </w:r>
    </w:p>
    <w:p w14:paraId="6040F47A" w14:textId="77777777" w:rsidR="006C2159" w:rsidRPr="006C2159" w:rsidRDefault="006C2159" w:rsidP="006C2159">
      <w:pPr>
        <w:spacing w:after="0" w:line="240" w:lineRule="auto"/>
        <w:jc w:val="center"/>
        <w:rPr>
          <w:rFonts w:ascii="Times New Roman" w:hAnsi="Times New Roman" w:cs="Times New Roman"/>
          <w:b/>
          <w:noProof/>
          <w:sz w:val="24"/>
          <w:szCs w:val="24"/>
        </w:rPr>
      </w:pPr>
      <w:r w:rsidRPr="006C2159">
        <w:rPr>
          <w:rFonts w:ascii="Times New Roman" w:hAnsi="Times New Roman" w:cs="Times New Roman"/>
          <w:b/>
          <w:noProof/>
          <w:sz w:val="24"/>
          <w:szCs w:val="24"/>
        </w:rPr>
        <w:t>LEPPETRAHVI MÄÄRAMISE KOHTA</w:t>
      </w:r>
    </w:p>
    <w:p w14:paraId="36EFD153" w14:textId="77777777" w:rsidR="006C2159" w:rsidRPr="006C2159" w:rsidRDefault="006C2159" w:rsidP="006C2159">
      <w:pPr>
        <w:spacing w:after="0" w:line="240" w:lineRule="auto"/>
        <w:jc w:val="center"/>
        <w:rPr>
          <w:rFonts w:ascii="Times New Roman" w:hAnsi="Times New Roman" w:cs="Times New Roman"/>
          <w:b/>
          <w:noProof/>
          <w:sz w:val="24"/>
          <w:szCs w:val="24"/>
        </w:rPr>
      </w:pPr>
    </w:p>
    <w:p w14:paraId="293E314C" w14:textId="77777777" w:rsidR="006C2159" w:rsidRPr="006C2159" w:rsidRDefault="006C2159" w:rsidP="006C2159">
      <w:pPr>
        <w:spacing w:after="0" w:line="240" w:lineRule="auto"/>
        <w:jc w:val="both"/>
        <w:rPr>
          <w:rFonts w:ascii="Times New Roman" w:hAnsi="Times New Roman" w:cs="Times New Roman"/>
          <w:noProof/>
          <w:sz w:val="24"/>
          <w:szCs w:val="24"/>
        </w:rPr>
      </w:pPr>
      <w:r w:rsidRPr="006C2159">
        <w:rPr>
          <w:rFonts w:ascii="Times New Roman" w:hAnsi="Times New Roman" w:cs="Times New Roman"/>
          <w:noProof/>
          <w:sz w:val="24"/>
          <w:szCs w:val="24"/>
        </w:rPr>
        <w:t>Lepingu nr ja nimetus: TEE-EHITUSE TÖÖVÕTULEPING nr 3.2-3/21/1635-1. Riigitee nr 11 Tallinna ringtee km 29,6-34,2 Kanama-Valingu 2+2 teelõigu ehitus</w:t>
      </w:r>
    </w:p>
    <w:p w14:paraId="51F609C6" w14:textId="77777777" w:rsidR="006C2159" w:rsidRPr="006C2159" w:rsidRDefault="006C2159" w:rsidP="006C2159">
      <w:pPr>
        <w:spacing w:after="0" w:line="240" w:lineRule="auto"/>
        <w:jc w:val="both"/>
        <w:rPr>
          <w:rFonts w:ascii="Times New Roman" w:hAnsi="Times New Roman" w:cs="Times New Roman"/>
          <w:i/>
          <w:noProof/>
          <w:sz w:val="24"/>
          <w:szCs w:val="24"/>
        </w:rPr>
      </w:pPr>
    </w:p>
    <w:p w14:paraId="66E1D09C" w14:textId="4B553954" w:rsidR="006C2159" w:rsidRPr="006C2159" w:rsidRDefault="007A2110" w:rsidP="006C2159">
      <w:pPr>
        <w:spacing w:after="0" w:line="240" w:lineRule="auto"/>
        <w:jc w:val="both"/>
        <w:rPr>
          <w:rFonts w:ascii="Times New Roman" w:hAnsi="Times New Roman" w:cs="Times New Roman"/>
          <w:noProof/>
          <w:sz w:val="24"/>
          <w:szCs w:val="24"/>
        </w:rPr>
      </w:pPr>
      <w:r>
        <w:rPr>
          <w:rFonts w:ascii="Times New Roman" w:hAnsi="Times New Roman" w:cs="Times New Roman"/>
          <w:b/>
          <w:noProof/>
          <w:sz w:val="24"/>
          <w:szCs w:val="24"/>
        </w:rPr>
        <w:t>11</w:t>
      </w:r>
      <w:r w:rsidR="006C2159" w:rsidRPr="006C2159">
        <w:rPr>
          <w:rFonts w:ascii="Times New Roman" w:hAnsi="Times New Roman" w:cs="Times New Roman"/>
          <w:b/>
          <w:noProof/>
          <w:sz w:val="24"/>
          <w:szCs w:val="24"/>
        </w:rPr>
        <w:t xml:space="preserve">. </w:t>
      </w:r>
      <w:r>
        <w:rPr>
          <w:rFonts w:ascii="Times New Roman" w:hAnsi="Times New Roman" w:cs="Times New Roman"/>
          <w:b/>
          <w:noProof/>
          <w:sz w:val="24"/>
          <w:szCs w:val="24"/>
        </w:rPr>
        <w:t>mai</w:t>
      </w:r>
      <w:r w:rsidR="00B425AF">
        <w:rPr>
          <w:rFonts w:ascii="Times New Roman" w:hAnsi="Times New Roman" w:cs="Times New Roman"/>
          <w:b/>
          <w:noProof/>
          <w:sz w:val="24"/>
          <w:szCs w:val="24"/>
        </w:rPr>
        <w:t xml:space="preserve"> 202</w:t>
      </w:r>
      <w:r>
        <w:rPr>
          <w:rFonts w:ascii="Times New Roman" w:hAnsi="Times New Roman" w:cs="Times New Roman"/>
          <w:b/>
          <w:noProof/>
          <w:sz w:val="24"/>
          <w:szCs w:val="24"/>
        </w:rPr>
        <w:t>3</w:t>
      </w:r>
      <w:r w:rsidR="00B425AF">
        <w:rPr>
          <w:rFonts w:ascii="Times New Roman" w:hAnsi="Times New Roman" w:cs="Times New Roman"/>
          <w:b/>
          <w:noProof/>
          <w:sz w:val="24"/>
          <w:szCs w:val="24"/>
        </w:rPr>
        <w:t xml:space="preserve"> </w:t>
      </w:r>
      <w:r w:rsidR="006C2159" w:rsidRPr="006C2159">
        <w:rPr>
          <w:rFonts w:ascii="Times New Roman" w:hAnsi="Times New Roman" w:cs="Times New Roman"/>
          <w:noProof/>
          <w:sz w:val="24"/>
          <w:szCs w:val="24"/>
        </w:rPr>
        <w:t xml:space="preserve">a on Töövõtjale </w:t>
      </w:r>
      <w:r w:rsidR="006C2159" w:rsidRPr="006C2159">
        <w:rPr>
          <w:rFonts w:ascii="Times New Roman" w:hAnsi="Times New Roman" w:cs="Times New Roman"/>
          <w:b/>
          <w:noProof/>
          <w:sz w:val="24"/>
          <w:szCs w:val="24"/>
        </w:rPr>
        <w:t>AS Trev-2 Grupp</w:t>
      </w:r>
      <w:r w:rsidR="006C2159" w:rsidRPr="006C2159">
        <w:rPr>
          <w:rFonts w:ascii="Times New Roman" w:hAnsi="Times New Roman" w:cs="Times New Roman"/>
          <w:noProof/>
          <w:sz w:val="24"/>
          <w:szCs w:val="24"/>
        </w:rPr>
        <w:t xml:space="preserve"> määratud leppetrahv tööde tegemise </w:t>
      </w:r>
      <w:r w:rsidR="006C2159" w:rsidRPr="006C2159">
        <w:rPr>
          <w:rFonts w:ascii="Times New Roman" w:hAnsi="Times New Roman" w:cs="Times New Roman"/>
          <w:b/>
          <w:noProof/>
          <w:sz w:val="24"/>
          <w:szCs w:val="24"/>
        </w:rPr>
        <w:t>tehnoloogilistest nõuetest</w:t>
      </w:r>
      <w:r w:rsidR="006C2159" w:rsidRPr="006C2159">
        <w:rPr>
          <w:rFonts w:ascii="Times New Roman" w:hAnsi="Times New Roman" w:cs="Times New Roman"/>
          <w:noProof/>
          <w:sz w:val="24"/>
          <w:szCs w:val="24"/>
        </w:rPr>
        <w:t xml:space="preserve"> / lepingulistest tähtaegadest mittekinnipidamise eest. </w:t>
      </w:r>
    </w:p>
    <w:p w14:paraId="000CEF28" w14:textId="77777777" w:rsidR="006C2159" w:rsidRPr="006C2159" w:rsidRDefault="006C2159" w:rsidP="006C2159">
      <w:pPr>
        <w:spacing w:after="0" w:line="240" w:lineRule="auto"/>
        <w:jc w:val="both"/>
        <w:rPr>
          <w:rFonts w:ascii="Times New Roman" w:hAnsi="Times New Roman" w:cs="Times New Roman"/>
          <w:noProof/>
          <w:sz w:val="24"/>
          <w:szCs w:val="24"/>
        </w:rPr>
      </w:pPr>
      <w:r w:rsidRPr="006C2159">
        <w:rPr>
          <w:rFonts w:ascii="Times New Roman" w:hAnsi="Times New Roman" w:cs="Times New Roman"/>
          <w:noProof/>
          <w:sz w:val="24"/>
          <w:szCs w:val="24"/>
        </w:rPr>
        <w:t>Leppetrahvid lepingu-, kvaliteedi-, tehnoloogia- ja liikluskorraldusnõuete rikkumise puhul määratakse ja vormistatakse Tellija või Tellija Projektijuhi poolt. Leppetrahvi määramise kohta koostatud akti alusel esitab Tellija Töövõtjale nõude leppetrahvi tasumiseks.</w:t>
      </w:r>
    </w:p>
    <w:p w14:paraId="0B3F7606" w14:textId="77777777" w:rsidR="006C2159" w:rsidRPr="006C2159" w:rsidRDefault="006C2159" w:rsidP="006C2159">
      <w:pPr>
        <w:spacing w:after="0" w:line="240" w:lineRule="auto"/>
        <w:jc w:val="both"/>
        <w:rPr>
          <w:rFonts w:ascii="Times New Roman" w:hAnsi="Times New Roman" w:cs="Times New Roman"/>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5965"/>
        <w:gridCol w:w="1841"/>
      </w:tblGrid>
      <w:tr w:rsidR="006C2159" w:rsidRPr="006C2159" w14:paraId="421AC580" w14:textId="77777777" w:rsidTr="006C2159">
        <w:tc>
          <w:tcPr>
            <w:tcW w:w="640" w:type="pct"/>
            <w:tcBorders>
              <w:top w:val="single" w:sz="4" w:space="0" w:color="auto"/>
              <w:left w:val="single" w:sz="4" w:space="0" w:color="auto"/>
              <w:bottom w:val="single" w:sz="4" w:space="0" w:color="auto"/>
              <w:right w:val="single" w:sz="4" w:space="0" w:color="auto"/>
            </w:tcBorders>
            <w:hideMark/>
          </w:tcPr>
          <w:p w14:paraId="1C9F8944" w14:textId="77777777" w:rsidR="006C2159" w:rsidRPr="006C2159" w:rsidRDefault="006C2159">
            <w:pPr>
              <w:spacing w:after="0" w:line="240" w:lineRule="auto"/>
              <w:rPr>
                <w:rFonts w:ascii="Times New Roman" w:hAnsi="Times New Roman" w:cs="Times New Roman"/>
                <w:noProof/>
                <w:sz w:val="24"/>
                <w:szCs w:val="24"/>
              </w:rPr>
            </w:pPr>
            <w:r w:rsidRPr="006C2159">
              <w:rPr>
                <w:rFonts w:ascii="Times New Roman" w:hAnsi="Times New Roman" w:cs="Times New Roman"/>
                <w:noProof/>
                <w:sz w:val="24"/>
                <w:szCs w:val="24"/>
              </w:rPr>
              <w:t>Märge määramise kohta</w:t>
            </w:r>
          </w:p>
        </w:tc>
        <w:tc>
          <w:tcPr>
            <w:tcW w:w="3318" w:type="pct"/>
            <w:tcBorders>
              <w:top w:val="single" w:sz="4" w:space="0" w:color="auto"/>
              <w:left w:val="single" w:sz="4" w:space="0" w:color="auto"/>
              <w:bottom w:val="single" w:sz="4" w:space="0" w:color="auto"/>
              <w:right w:val="single" w:sz="4" w:space="0" w:color="auto"/>
            </w:tcBorders>
          </w:tcPr>
          <w:p w14:paraId="2F61C8F8" w14:textId="77777777" w:rsidR="006C2159" w:rsidRPr="006C2159" w:rsidRDefault="006C2159">
            <w:pPr>
              <w:spacing w:after="0" w:line="240" w:lineRule="auto"/>
              <w:rPr>
                <w:rFonts w:ascii="Times New Roman" w:hAnsi="Times New Roman" w:cs="Times New Roman"/>
                <w:noProof/>
                <w:sz w:val="24"/>
                <w:szCs w:val="24"/>
              </w:rPr>
            </w:pPr>
            <w:r w:rsidRPr="006C2159">
              <w:rPr>
                <w:rFonts w:ascii="Times New Roman" w:hAnsi="Times New Roman" w:cs="Times New Roman"/>
                <w:noProof/>
                <w:sz w:val="24"/>
                <w:szCs w:val="24"/>
              </w:rPr>
              <w:t>Põhjus</w:t>
            </w:r>
          </w:p>
          <w:p w14:paraId="55679C7F" w14:textId="77777777" w:rsidR="006C2159" w:rsidRPr="006C2159" w:rsidRDefault="006C2159">
            <w:pPr>
              <w:spacing w:after="0" w:line="240" w:lineRule="auto"/>
              <w:rPr>
                <w:rFonts w:ascii="Times New Roman" w:hAnsi="Times New Roman" w:cs="Times New Roman"/>
                <w:noProof/>
                <w:sz w:val="24"/>
                <w:szCs w:val="24"/>
              </w:rPr>
            </w:pPr>
          </w:p>
        </w:tc>
        <w:tc>
          <w:tcPr>
            <w:tcW w:w="1042" w:type="pct"/>
            <w:tcBorders>
              <w:top w:val="single" w:sz="4" w:space="0" w:color="auto"/>
              <w:left w:val="single" w:sz="4" w:space="0" w:color="auto"/>
              <w:bottom w:val="single" w:sz="4" w:space="0" w:color="auto"/>
              <w:right w:val="single" w:sz="4" w:space="0" w:color="auto"/>
            </w:tcBorders>
          </w:tcPr>
          <w:p w14:paraId="02EB9C24" w14:textId="77777777" w:rsidR="006C2159" w:rsidRPr="006C2159" w:rsidRDefault="006C2159">
            <w:pPr>
              <w:spacing w:after="0" w:line="240" w:lineRule="auto"/>
              <w:rPr>
                <w:rFonts w:ascii="Times New Roman" w:hAnsi="Times New Roman" w:cs="Times New Roman"/>
                <w:noProof/>
                <w:sz w:val="24"/>
                <w:szCs w:val="24"/>
              </w:rPr>
            </w:pPr>
            <w:r w:rsidRPr="006C2159">
              <w:rPr>
                <w:rFonts w:ascii="Times New Roman" w:hAnsi="Times New Roman" w:cs="Times New Roman"/>
                <w:noProof/>
                <w:sz w:val="24"/>
                <w:szCs w:val="24"/>
              </w:rPr>
              <w:t>Leppetrahvi suurus (eurodes)</w:t>
            </w:r>
          </w:p>
          <w:p w14:paraId="23D1C90D" w14:textId="77777777" w:rsidR="006C2159" w:rsidRPr="006C2159" w:rsidRDefault="006C2159">
            <w:pPr>
              <w:spacing w:after="0" w:line="240" w:lineRule="auto"/>
              <w:rPr>
                <w:rFonts w:ascii="Times New Roman" w:hAnsi="Times New Roman" w:cs="Times New Roman"/>
                <w:strike/>
                <w:noProof/>
                <w:sz w:val="24"/>
                <w:szCs w:val="24"/>
              </w:rPr>
            </w:pPr>
          </w:p>
        </w:tc>
      </w:tr>
      <w:tr w:rsidR="006C2159" w:rsidRPr="006C2159" w14:paraId="25E7111A" w14:textId="77777777" w:rsidTr="006C2159">
        <w:tc>
          <w:tcPr>
            <w:tcW w:w="640" w:type="pct"/>
            <w:tcBorders>
              <w:top w:val="single" w:sz="4" w:space="0" w:color="auto"/>
              <w:left w:val="single" w:sz="4" w:space="0" w:color="auto"/>
              <w:bottom w:val="single" w:sz="4" w:space="0" w:color="auto"/>
              <w:right w:val="single" w:sz="4" w:space="0" w:color="auto"/>
            </w:tcBorders>
          </w:tcPr>
          <w:p w14:paraId="18179ED0" w14:textId="77777777" w:rsidR="006C2159" w:rsidRPr="006C2159" w:rsidRDefault="006C2159">
            <w:pPr>
              <w:spacing w:after="0" w:line="240" w:lineRule="auto"/>
              <w:rPr>
                <w:rFonts w:ascii="Times New Roman" w:hAnsi="Times New Roman" w:cs="Times New Roman"/>
                <w:noProof/>
                <w:sz w:val="24"/>
                <w:szCs w:val="24"/>
              </w:rPr>
            </w:pPr>
          </w:p>
        </w:tc>
        <w:tc>
          <w:tcPr>
            <w:tcW w:w="3318" w:type="pct"/>
            <w:tcBorders>
              <w:top w:val="single" w:sz="4" w:space="0" w:color="auto"/>
              <w:left w:val="single" w:sz="4" w:space="0" w:color="auto"/>
              <w:bottom w:val="single" w:sz="4" w:space="0" w:color="auto"/>
              <w:right w:val="single" w:sz="4" w:space="0" w:color="auto"/>
            </w:tcBorders>
            <w:hideMark/>
          </w:tcPr>
          <w:p w14:paraId="5D3446D6" w14:textId="77777777" w:rsidR="006C2159" w:rsidRPr="006C2159" w:rsidRDefault="006C2159">
            <w:pPr>
              <w:spacing w:after="0" w:line="240" w:lineRule="auto"/>
              <w:rPr>
                <w:rFonts w:ascii="Times New Roman" w:hAnsi="Times New Roman" w:cs="Times New Roman"/>
                <w:b/>
                <w:bCs/>
                <w:noProof/>
                <w:sz w:val="24"/>
                <w:szCs w:val="24"/>
              </w:rPr>
            </w:pPr>
            <w:r w:rsidRPr="006C2159">
              <w:rPr>
                <w:rFonts w:ascii="Times New Roman" w:hAnsi="Times New Roman" w:cs="Times New Roman"/>
                <w:b/>
                <w:bCs/>
                <w:noProof/>
                <w:sz w:val="24"/>
                <w:szCs w:val="24"/>
              </w:rPr>
              <w:t>Keskkonnanõuete eiramise eest</w:t>
            </w:r>
          </w:p>
        </w:tc>
        <w:tc>
          <w:tcPr>
            <w:tcW w:w="1042" w:type="pct"/>
            <w:tcBorders>
              <w:top w:val="single" w:sz="4" w:space="0" w:color="auto"/>
              <w:left w:val="single" w:sz="4" w:space="0" w:color="auto"/>
              <w:bottom w:val="single" w:sz="4" w:space="0" w:color="auto"/>
              <w:right w:val="single" w:sz="4" w:space="0" w:color="auto"/>
            </w:tcBorders>
            <w:hideMark/>
          </w:tcPr>
          <w:p w14:paraId="398E5F34" w14:textId="77777777" w:rsidR="006C2159" w:rsidRPr="006C2159" w:rsidRDefault="006C2159">
            <w:pPr>
              <w:spacing w:after="0" w:line="240" w:lineRule="auto"/>
              <w:rPr>
                <w:rFonts w:ascii="Times New Roman" w:hAnsi="Times New Roman" w:cs="Times New Roman"/>
                <w:noProof/>
                <w:sz w:val="24"/>
                <w:szCs w:val="24"/>
              </w:rPr>
            </w:pPr>
            <w:r w:rsidRPr="006C2159">
              <w:rPr>
                <w:rFonts w:ascii="Times New Roman" w:hAnsi="Times New Roman" w:cs="Times New Roman"/>
                <w:noProof/>
                <w:sz w:val="24"/>
                <w:szCs w:val="24"/>
              </w:rPr>
              <w:t>2000</w:t>
            </w:r>
          </w:p>
        </w:tc>
      </w:tr>
      <w:tr w:rsidR="006C2159" w:rsidRPr="006C2159" w14:paraId="4905E31F" w14:textId="77777777" w:rsidTr="006C2159">
        <w:tc>
          <w:tcPr>
            <w:tcW w:w="640" w:type="pct"/>
            <w:tcBorders>
              <w:top w:val="single" w:sz="4" w:space="0" w:color="auto"/>
              <w:left w:val="single" w:sz="4" w:space="0" w:color="auto"/>
              <w:bottom w:val="single" w:sz="4" w:space="0" w:color="auto"/>
              <w:right w:val="single" w:sz="4" w:space="0" w:color="auto"/>
            </w:tcBorders>
          </w:tcPr>
          <w:p w14:paraId="2C87E9AA" w14:textId="77777777" w:rsidR="006C2159" w:rsidRPr="006C2159" w:rsidRDefault="006C2159">
            <w:pPr>
              <w:spacing w:after="0" w:line="240" w:lineRule="auto"/>
              <w:rPr>
                <w:rFonts w:ascii="Times New Roman" w:hAnsi="Times New Roman" w:cs="Times New Roman"/>
                <w:noProof/>
                <w:sz w:val="24"/>
                <w:szCs w:val="24"/>
              </w:rPr>
            </w:pPr>
          </w:p>
        </w:tc>
        <w:tc>
          <w:tcPr>
            <w:tcW w:w="3318" w:type="pct"/>
            <w:tcBorders>
              <w:top w:val="single" w:sz="4" w:space="0" w:color="auto"/>
              <w:left w:val="single" w:sz="4" w:space="0" w:color="auto"/>
              <w:bottom w:val="single" w:sz="4" w:space="0" w:color="auto"/>
              <w:right w:val="single" w:sz="4" w:space="0" w:color="auto"/>
            </w:tcBorders>
            <w:hideMark/>
          </w:tcPr>
          <w:p w14:paraId="751BE2B7" w14:textId="77777777" w:rsidR="006C2159" w:rsidRPr="006C2159" w:rsidRDefault="006C2159">
            <w:pPr>
              <w:spacing w:after="0" w:line="240" w:lineRule="auto"/>
              <w:rPr>
                <w:rFonts w:ascii="Times New Roman" w:hAnsi="Times New Roman" w:cs="Times New Roman"/>
                <w:b/>
                <w:bCs/>
                <w:noProof/>
                <w:sz w:val="24"/>
                <w:szCs w:val="24"/>
              </w:rPr>
            </w:pPr>
            <w:r w:rsidRPr="006C2159">
              <w:rPr>
                <w:rFonts w:ascii="Times New Roman" w:hAnsi="Times New Roman" w:cs="Times New Roman"/>
                <w:b/>
                <w:bCs/>
                <w:noProof/>
                <w:sz w:val="24"/>
                <w:szCs w:val="24"/>
              </w:rPr>
              <w:t>Tööde ja materjalide kvaliteedi kontrolliga seotud mõõtmiste, katsetuste ja muude tegevuste eiramise eest</w:t>
            </w:r>
          </w:p>
        </w:tc>
        <w:tc>
          <w:tcPr>
            <w:tcW w:w="1042" w:type="pct"/>
            <w:tcBorders>
              <w:top w:val="single" w:sz="4" w:space="0" w:color="auto"/>
              <w:left w:val="single" w:sz="4" w:space="0" w:color="auto"/>
              <w:bottom w:val="single" w:sz="4" w:space="0" w:color="auto"/>
              <w:right w:val="single" w:sz="4" w:space="0" w:color="auto"/>
            </w:tcBorders>
          </w:tcPr>
          <w:p w14:paraId="49D57D04" w14:textId="77777777" w:rsidR="006C2159" w:rsidRPr="006C2159" w:rsidRDefault="006C2159">
            <w:pPr>
              <w:spacing w:after="0" w:line="240" w:lineRule="auto"/>
              <w:rPr>
                <w:rFonts w:ascii="Times New Roman" w:hAnsi="Times New Roman" w:cs="Times New Roman"/>
                <w:noProof/>
                <w:sz w:val="24"/>
                <w:szCs w:val="24"/>
              </w:rPr>
            </w:pPr>
            <w:r w:rsidRPr="006C2159">
              <w:rPr>
                <w:rFonts w:ascii="Times New Roman" w:hAnsi="Times New Roman" w:cs="Times New Roman"/>
                <w:noProof/>
                <w:sz w:val="24"/>
                <w:szCs w:val="24"/>
              </w:rPr>
              <w:t>1000</w:t>
            </w:r>
          </w:p>
          <w:p w14:paraId="1E29EA15" w14:textId="77777777" w:rsidR="006C2159" w:rsidRPr="006C2159" w:rsidRDefault="006C2159">
            <w:pPr>
              <w:spacing w:after="0" w:line="240" w:lineRule="auto"/>
              <w:rPr>
                <w:rFonts w:ascii="Times New Roman" w:hAnsi="Times New Roman" w:cs="Times New Roman"/>
                <w:noProof/>
                <w:sz w:val="24"/>
                <w:szCs w:val="24"/>
              </w:rPr>
            </w:pPr>
          </w:p>
        </w:tc>
      </w:tr>
      <w:tr w:rsidR="006C2159" w:rsidRPr="006C2159" w14:paraId="523A1049" w14:textId="77777777" w:rsidTr="006C2159">
        <w:tc>
          <w:tcPr>
            <w:tcW w:w="640" w:type="pct"/>
            <w:tcBorders>
              <w:top w:val="single" w:sz="4" w:space="0" w:color="auto"/>
              <w:left w:val="single" w:sz="4" w:space="0" w:color="auto"/>
              <w:bottom w:val="single" w:sz="4" w:space="0" w:color="auto"/>
              <w:right w:val="single" w:sz="4" w:space="0" w:color="auto"/>
            </w:tcBorders>
          </w:tcPr>
          <w:p w14:paraId="01E6FEA6" w14:textId="77777777" w:rsidR="006C2159" w:rsidRPr="006C2159" w:rsidRDefault="006C2159">
            <w:pPr>
              <w:spacing w:after="0" w:line="240" w:lineRule="auto"/>
              <w:rPr>
                <w:rFonts w:ascii="Times New Roman" w:hAnsi="Times New Roman" w:cs="Times New Roman"/>
                <w:noProof/>
                <w:sz w:val="24"/>
                <w:szCs w:val="24"/>
              </w:rPr>
            </w:pPr>
          </w:p>
        </w:tc>
        <w:tc>
          <w:tcPr>
            <w:tcW w:w="3318" w:type="pct"/>
            <w:tcBorders>
              <w:top w:val="single" w:sz="4" w:space="0" w:color="auto"/>
              <w:left w:val="single" w:sz="4" w:space="0" w:color="auto"/>
              <w:bottom w:val="single" w:sz="4" w:space="0" w:color="auto"/>
              <w:right w:val="single" w:sz="4" w:space="0" w:color="auto"/>
            </w:tcBorders>
            <w:hideMark/>
          </w:tcPr>
          <w:p w14:paraId="15C3C660" w14:textId="77777777" w:rsidR="006C2159" w:rsidRPr="006C2159" w:rsidRDefault="006C2159">
            <w:pPr>
              <w:spacing w:after="0" w:line="240" w:lineRule="auto"/>
              <w:rPr>
                <w:rFonts w:ascii="Times New Roman" w:hAnsi="Times New Roman" w:cs="Times New Roman"/>
                <w:b/>
                <w:bCs/>
                <w:noProof/>
                <w:sz w:val="24"/>
                <w:szCs w:val="24"/>
              </w:rPr>
            </w:pPr>
            <w:r w:rsidRPr="006C2159">
              <w:rPr>
                <w:rFonts w:ascii="Times New Roman" w:hAnsi="Times New Roman" w:cs="Times New Roman"/>
                <w:b/>
                <w:bCs/>
                <w:noProof/>
                <w:sz w:val="24"/>
                <w:szCs w:val="24"/>
              </w:rPr>
              <w:t>Tellija või Inseneri poolt tehtud pistelise proovi tulemusel kvaliteedinõuetest avastatud kõrvalekaldumiste eest, millest Töövõtja ei ole kirjalikult Inseneri teavitanud</w:t>
            </w:r>
          </w:p>
        </w:tc>
        <w:tc>
          <w:tcPr>
            <w:tcW w:w="1042" w:type="pct"/>
            <w:tcBorders>
              <w:top w:val="single" w:sz="4" w:space="0" w:color="auto"/>
              <w:left w:val="single" w:sz="4" w:space="0" w:color="auto"/>
              <w:bottom w:val="single" w:sz="4" w:space="0" w:color="auto"/>
              <w:right w:val="single" w:sz="4" w:space="0" w:color="auto"/>
            </w:tcBorders>
          </w:tcPr>
          <w:p w14:paraId="129E20D4" w14:textId="77777777" w:rsidR="006C2159" w:rsidRPr="006C2159" w:rsidRDefault="006C2159">
            <w:pPr>
              <w:spacing w:after="0" w:line="240" w:lineRule="auto"/>
              <w:rPr>
                <w:rFonts w:ascii="Times New Roman" w:hAnsi="Times New Roman" w:cs="Times New Roman"/>
                <w:noProof/>
                <w:sz w:val="24"/>
                <w:szCs w:val="24"/>
              </w:rPr>
            </w:pPr>
            <w:r w:rsidRPr="006C2159">
              <w:rPr>
                <w:rFonts w:ascii="Times New Roman" w:hAnsi="Times New Roman" w:cs="Times New Roman"/>
                <w:noProof/>
                <w:sz w:val="24"/>
                <w:szCs w:val="24"/>
              </w:rPr>
              <w:t>2000</w:t>
            </w:r>
          </w:p>
          <w:p w14:paraId="575E283A" w14:textId="77777777" w:rsidR="006C2159" w:rsidRPr="006C2159" w:rsidRDefault="006C2159">
            <w:pPr>
              <w:spacing w:after="0" w:line="240" w:lineRule="auto"/>
              <w:rPr>
                <w:rFonts w:ascii="Times New Roman" w:hAnsi="Times New Roman" w:cs="Times New Roman"/>
                <w:noProof/>
                <w:sz w:val="24"/>
                <w:szCs w:val="24"/>
              </w:rPr>
            </w:pPr>
          </w:p>
        </w:tc>
      </w:tr>
      <w:tr w:rsidR="006C2159" w:rsidRPr="006C2159" w14:paraId="60FC0C01" w14:textId="77777777" w:rsidTr="006C2159">
        <w:tc>
          <w:tcPr>
            <w:tcW w:w="640" w:type="pct"/>
            <w:tcBorders>
              <w:top w:val="single" w:sz="4" w:space="0" w:color="auto"/>
              <w:left w:val="single" w:sz="4" w:space="0" w:color="auto"/>
              <w:bottom w:val="single" w:sz="4" w:space="0" w:color="auto"/>
              <w:right w:val="single" w:sz="4" w:space="0" w:color="auto"/>
            </w:tcBorders>
          </w:tcPr>
          <w:p w14:paraId="188FAAD8" w14:textId="77777777" w:rsidR="006C2159" w:rsidRPr="006C2159" w:rsidRDefault="006C2159">
            <w:pPr>
              <w:spacing w:after="0" w:line="240" w:lineRule="auto"/>
              <w:rPr>
                <w:rFonts w:ascii="Times New Roman" w:hAnsi="Times New Roman" w:cs="Times New Roman"/>
                <w:noProof/>
                <w:sz w:val="24"/>
                <w:szCs w:val="24"/>
              </w:rPr>
            </w:pPr>
          </w:p>
        </w:tc>
        <w:tc>
          <w:tcPr>
            <w:tcW w:w="3318" w:type="pct"/>
            <w:tcBorders>
              <w:top w:val="single" w:sz="4" w:space="0" w:color="auto"/>
              <w:left w:val="single" w:sz="4" w:space="0" w:color="auto"/>
              <w:bottom w:val="single" w:sz="4" w:space="0" w:color="auto"/>
              <w:right w:val="single" w:sz="4" w:space="0" w:color="auto"/>
            </w:tcBorders>
            <w:hideMark/>
          </w:tcPr>
          <w:p w14:paraId="5A99F0A4" w14:textId="77777777" w:rsidR="006C2159" w:rsidRPr="006C2159" w:rsidRDefault="006C2159">
            <w:pPr>
              <w:spacing w:after="0" w:line="240" w:lineRule="auto"/>
              <w:rPr>
                <w:rFonts w:ascii="Times New Roman" w:hAnsi="Times New Roman" w:cs="Times New Roman"/>
                <w:b/>
                <w:bCs/>
                <w:noProof/>
                <w:sz w:val="24"/>
                <w:szCs w:val="24"/>
              </w:rPr>
            </w:pPr>
            <w:r w:rsidRPr="006C2159">
              <w:rPr>
                <w:rFonts w:ascii="Times New Roman" w:hAnsi="Times New Roman" w:cs="Times New Roman"/>
                <w:b/>
                <w:bCs/>
                <w:noProof/>
                <w:sz w:val="24"/>
                <w:szCs w:val="24"/>
              </w:rPr>
              <w:t>Omavoliliselt, ilma kooskõlastuseta  töövõtja poolt põhjustatud liikluse seiskamise eest tee(de)l vähemalt 5 minutiks</w:t>
            </w:r>
          </w:p>
        </w:tc>
        <w:tc>
          <w:tcPr>
            <w:tcW w:w="1042" w:type="pct"/>
            <w:tcBorders>
              <w:top w:val="single" w:sz="4" w:space="0" w:color="auto"/>
              <w:left w:val="single" w:sz="4" w:space="0" w:color="auto"/>
              <w:bottom w:val="single" w:sz="4" w:space="0" w:color="auto"/>
              <w:right w:val="single" w:sz="4" w:space="0" w:color="auto"/>
            </w:tcBorders>
            <w:hideMark/>
          </w:tcPr>
          <w:p w14:paraId="5EB1AB0D" w14:textId="77777777" w:rsidR="006C2159" w:rsidRPr="006C2159" w:rsidRDefault="006C2159">
            <w:pPr>
              <w:spacing w:after="0" w:line="240" w:lineRule="auto"/>
              <w:rPr>
                <w:rFonts w:ascii="Times New Roman" w:hAnsi="Times New Roman" w:cs="Times New Roman"/>
                <w:noProof/>
                <w:sz w:val="24"/>
                <w:szCs w:val="24"/>
              </w:rPr>
            </w:pPr>
            <w:r w:rsidRPr="006C2159">
              <w:rPr>
                <w:rFonts w:ascii="Times New Roman" w:hAnsi="Times New Roman" w:cs="Times New Roman"/>
                <w:noProof/>
                <w:sz w:val="24"/>
                <w:szCs w:val="24"/>
              </w:rPr>
              <w:t xml:space="preserve"> 600</w:t>
            </w:r>
          </w:p>
        </w:tc>
      </w:tr>
      <w:tr w:rsidR="006C2159" w:rsidRPr="006C2159" w14:paraId="19D2D60A" w14:textId="77777777" w:rsidTr="006C2159">
        <w:tc>
          <w:tcPr>
            <w:tcW w:w="640" w:type="pct"/>
            <w:tcBorders>
              <w:top w:val="single" w:sz="4" w:space="0" w:color="auto"/>
              <w:left w:val="single" w:sz="4" w:space="0" w:color="auto"/>
              <w:bottom w:val="single" w:sz="4" w:space="0" w:color="auto"/>
              <w:right w:val="single" w:sz="4" w:space="0" w:color="auto"/>
            </w:tcBorders>
          </w:tcPr>
          <w:p w14:paraId="40656CFD" w14:textId="77777777" w:rsidR="006C2159" w:rsidRPr="006C2159" w:rsidRDefault="006C2159">
            <w:pPr>
              <w:spacing w:after="0" w:line="240" w:lineRule="auto"/>
              <w:rPr>
                <w:rFonts w:ascii="Times New Roman" w:hAnsi="Times New Roman" w:cs="Times New Roman"/>
                <w:noProof/>
                <w:sz w:val="24"/>
                <w:szCs w:val="24"/>
              </w:rPr>
            </w:pPr>
          </w:p>
        </w:tc>
        <w:tc>
          <w:tcPr>
            <w:tcW w:w="3318" w:type="pct"/>
            <w:tcBorders>
              <w:top w:val="single" w:sz="4" w:space="0" w:color="auto"/>
              <w:left w:val="single" w:sz="4" w:space="0" w:color="auto"/>
              <w:bottom w:val="single" w:sz="4" w:space="0" w:color="auto"/>
              <w:right w:val="single" w:sz="4" w:space="0" w:color="auto"/>
            </w:tcBorders>
            <w:hideMark/>
          </w:tcPr>
          <w:p w14:paraId="0E12EB99" w14:textId="77777777" w:rsidR="006C2159" w:rsidRPr="006C2159" w:rsidRDefault="006C2159">
            <w:pPr>
              <w:spacing w:after="0" w:line="240" w:lineRule="auto"/>
              <w:rPr>
                <w:rFonts w:ascii="Times New Roman" w:hAnsi="Times New Roman" w:cs="Times New Roman"/>
                <w:noProof/>
                <w:sz w:val="24"/>
                <w:szCs w:val="24"/>
              </w:rPr>
            </w:pPr>
            <w:r w:rsidRPr="006C2159">
              <w:rPr>
                <w:rFonts w:ascii="Times New Roman" w:hAnsi="Times New Roman" w:cs="Times New Roman"/>
                <w:noProof/>
                <w:sz w:val="24"/>
                <w:szCs w:val="24"/>
              </w:rPr>
              <w:t xml:space="preserve">iga järgmise 5 min eest </w:t>
            </w:r>
          </w:p>
        </w:tc>
        <w:tc>
          <w:tcPr>
            <w:tcW w:w="1042" w:type="pct"/>
            <w:tcBorders>
              <w:top w:val="single" w:sz="4" w:space="0" w:color="auto"/>
              <w:left w:val="single" w:sz="4" w:space="0" w:color="auto"/>
              <w:bottom w:val="single" w:sz="4" w:space="0" w:color="auto"/>
              <w:right w:val="single" w:sz="4" w:space="0" w:color="auto"/>
            </w:tcBorders>
            <w:hideMark/>
          </w:tcPr>
          <w:p w14:paraId="06E4FD37" w14:textId="77777777" w:rsidR="006C2159" w:rsidRPr="006C2159" w:rsidRDefault="006C2159">
            <w:pPr>
              <w:spacing w:after="0" w:line="240" w:lineRule="auto"/>
              <w:rPr>
                <w:rFonts w:ascii="Times New Roman" w:hAnsi="Times New Roman" w:cs="Times New Roman"/>
                <w:noProof/>
                <w:sz w:val="24"/>
                <w:szCs w:val="24"/>
              </w:rPr>
            </w:pPr>
            <w:r w:rsidRPr="006C2159">
              <w:rPr>
                <w:rFonts w:ascii="Times New Roman" w:hAnsi="Times New Roman" w:cs="Times New Roman"/>
                <w:noProof/>
                <w:sz w:val="24"/>
                <w:szCs w:val="24"/>
              </w:rPr>
              <w:t>2000</w:t>
            </w:r>
          </w:p>
        </w:tc>
      </w:tr>
      <w:tr w:rsidR="006C2159" w:rsidRPr="006C2159" w14:paraId="1EF2B3D8" w14:textId="77777777" w:rsidTr="006C2159">
        <w:tc>
          <w:tcPr>
            <w:tcW w:w="640" w:type="pct"/>
            <w:tcBorders>
              <w:top w:val="single" w:sz="4" w:space="0" w:color="auto"/>
              <w:left w:val="single" w:sz="4" w:space="0" w:color="auto"/>
              <w:bottom w:val="single" w:sz="4" w:space="0" w:color="auto"/>
              <w:right w:val="single" w:sz="4" w:space="0" w:color="auto"/>
            </w:tcBorders>
          </w:tcPr>
          <w:p w14:paraId="4869F3CE" w14:textId="77777777" w:rsidR="006C2159" w:rsidRPr="006C2159" w:rsidRDefault="006C2159">
            <w:pPr>
              <w:spacing w:after="0" w:line="240" w:lineRule="auto"/>
              <w:rPr>
                <w:rFonts w:ascii="Times New Roman" w:hAnsi="Times New Roman" w:cs="Times New Roman"/>
                <w:noProof/>
                <w:sz w:val="24"/>
                <w:szCs w:val="24"/>
              </w:rPr>
            </w:pPr>
          </w:p>
        </w:tc>
        <w:tc>
          <w:tcPr>
            <w:tcW w:w="3318" w:type="pct"/>
            <w:tcBorders>
              <w:top w:val="single" w:sz="4" w:space="0" w:color="auto"/>
              <w:left w:val="single" w:sz="4" w:space="0" w:color="auto"/>
              <w:bottom w:val="single" w:sz="4" w:space="0" w:color="auto"/>
              <w:right w:val="single" w:sz="4" w:space="0" w:color="auto"/>
            </w:tcBorders>
            <w:hideMark/>
          </w:tcPr>
          <w:p w14:paraId="23BB0C31" w14:textId="77777777" w:rsidR="006C2159" w:rsidRPr="006C2159" w:rsidRDefault="006C2159">
            <w:pPr>
              <w:spacing w:after="0" w:line="240" w:lineRule="auto"/>
              <w:rPr>
                <w:rFonts w:ascii="Times New Roman" w:hAnsi="Times New Roman" w:cs="Times New Roman"/>
                <w:b/>
                <w:bCs/>
                <w:noProof/>
                <w:sz w:val="24"/>
                <w:szCs w:val="24"/>
              </w:rPr>
            </w:pPr>
            <w:r w:rsidRPr="006C2159">
              <w:rPr>
                <w:rFonts w:ascii="Times New Roman" w:hAnsi="Times New Roman" w:cs="Times New Roman"/>
                <w:b/>
                <w:bCs/>
                <w:noProof/>
                <w:sz w:val="24"/>
                <w:szCs w:val="24"/>
              </w:rPr>
              <w:t>Töövõtja poolt tööde ja materjalide kvaliteedi kontrolliga seotud dokumentides, tööde vastuvõtu aruannetes või objektipäevikutes olulise iseloomuga mittetõepäraste andmete esitamise eest</w:t>
            </w:r>
          </w:p>
        </w:tc>
        <w:tc>
          <w:tcPr>
            <w:tcW w:w="1042" w:type="pct"/>
            <w:tcBorders>
              <w:top w:val="single" w:sz="4" w:space="0" w:color="auto"/>
              <w:left w:val="single" w:sz="4" w:space="0" w:color="auto"/>
              <w:bottom w:val="single" w:sz="4" w:space="0" w:color="auto"/>
              <w:right w:val="single" w:sz="4" w:space="0" w:color="auto"/>
            </w:tcBorders>
          </w:tcPr>
          <w:p w14:paraId="59CF6BEC" w14:textId="77777777" w:rsidR="006C2159" w:rsidRPr="006C2159" w:rsidRDefault="006C2159">
            <w:pPr>
              <w:spacing w:after="0" w:line="240" w:lineRule="auto"/>
              <w:rPr>
                <w:rFonts w:ascii="Times New Roman" w:hAnsi="Times New Roman" w:cs="Times New Roman"/>
                <w:noProof/>
                <w:sz w:val="24"/>
                <w:szCs w:val="24"/>
              </w:rPr>
            </w:pPr>
            <w:r w:rsidRPr="006C2159">
              <w:rPr>
                <w:rFonts w:ascii="Times New Roman" w:hAnsi="Times New Roman" w:cs="Times New Roman"/>
                <w:noProof/>
                <w:sz w:val="24"/>
                <w:szCs w:val="24"/>
              </w:rPr>
              <w:t>3200</w:t>
            </w:r>
          </w:p>
          <w:p w14:paraId="056C1873" w14:textId="77777777" w:rsidR="006C2159" w:rsidRPr="006C2159" w:rsidRDefault="006C2159">
            <w:pPr>
              <w:spacing w:after="0" w:line="240" w:lineRule="auto"/>
              <w:rPr>
                <w:rFonts w:ascii="Times New Roman" w:hAnsi="Times New Roman" w:cs="Times New Roman"/>
                <w:noProof/>
                <w:sz w:val="24"/>
                <w:szCs w:val="24"/>
              </w:rPr>
            </w:pPr>
          </w:p>
        </w:tc>
      </w:tr>
      <w:tr w:rsidR="006C2159" w:rsidRPr="006C2159" w14:paraId="7FE757C0" w14:textId="77777777" w:rsidTr="006C2159">
        <w:tc>
          <w:tcPr>
            <w:tcW w:w="640" w:type="pct"/>
            <w:tcBorders>
              <w:top w:val="single" w:sz="4" w:space="0" w:color="auto"/>
              <w:left w:val="single" w:sz="4" w:space="0" w:color="auto"/>
              <w:bottom w:val="single" w:sz="4" w:space="0" w:color="auto"/>
              <w:right w:val="single" w:sz="4" w:space="0" w:color="auto"/>
            </w:tcBorders>
          </w:tcPr>
          <w:p w14:paraId="5FEA248F" w14:textId="77777777" w:rsidR="006C2159" w:rsidRPr="006C2159" w:rsidRDefault="006C2159">
            <w:pPr>
              <w:spacing w:after="0" w:line="240" w:lineRule="auto"/>
              <w:rPr>
                <w:rFonts w:ascii="Times New Roman" w:hAnsi="Times New Roman" w:cs="Times New Roman"/>
                <w:noProof/>
                <w:sz w:val="24"/>
                <w:szCs w:val="24"/>
              </w:rPr>
            </w:pPr>
          </w:p>
        </w:tc>
        <w:tc>
          <w:tcPr>
            <w:tcW w:w="3318" w:type="pct"/>
            <w:tcBorders>
              <w:top w:val="single" w:sz="4" w:space="0" w:color="auto"/>
              <w:left w:val="single" w:sz="4" w:space="0" w:color="auto"/>
              <w:bottom w:val="single" w:sz="4" w:space="0" w:color="auto"/>
              <w:right w:val="single" w:sz="4" w:space="0" w:color="auto"/>
            </w:tcBorders>
            <w:hideMark/>
          </w:tcPr>
          <w:p w14:paraId="3489598B" w14:textId="77777777" w:rsidR="006C2159" w:rsidRPr="006C2159" w:rsidRDefault="006C2159">
            <w:pPr>
              <w:spacing w:after="0" w:line="240" w:lineRule="auto"/>
              <w:rPr>
                <w:rFonts w:ascii="Times New Roman" w:hAnsi="Times New Roman" w:cs="Times New Roman"/>
                <w:b/>
                <w:bCs/>
                <w:noProof/>
                <w:sz w:val="24"/>
                <w:szCs w:val="24"/>
              </w:rPr>
            </w:pPr>
            <w:r w:rsidRPr="006C2159">
              <w:rPr>
                <w:rFonts w:ascii="Times New Roman" w:hAnsi="Times New Roman" w:cs="Times New Roman"/>
                <w:b/>
                <w:bCs/>
                <w:noProof/>
                <w:sz w:val="24"/>
                <w:szCs w:val="24"/>
              </w:rPr>
              <w:t xml:space="preserve">Objektipäevikute </w:t>
            </w:r>
            <w:r w:rsidRPr="006C2159">
              <w:rPr>
                <w:rFonts w:ascii="Times New Roman" w:hAnsi="Times New Roman" w:cs="Times New Roman"/>
                <w:b/>
                <w:noProof/>
                <w:sz w:val="24"/>
                <w:szCs w:val="24"/>
              </w:rPr>
              <w:t>mitteõigeaegse või ebakohase täitmise või mittetäitmise eest</w:t>
            </w:r>
          </w:p>
        </w:tc>
        <w:tc>
          <w:tcPr>
            <w:tcW w:w="1042" w:type="pct"/>
            <w:tcBorders>
              <w:top w:val="single" w:sz="4" w:space="0" w:color="auto"/>
              <w:left w:val="single" w:sz="4" w:space="0" w:color="auto"/>
              <w:bottom w:val="single" w:sz="4" w:space="0" w:color="auto"/>
              <w:right w:val="single" w:sz="4" w:space="0" w:color="auto"/>
            </w:tcBorders>
            <w:hideMark/>
          </w:tcPr>
          <w:p w14:paraId="143CE9F0" w14:textId="77777777" w:rsidR="006C2159" w:rsidRPr="006C2159" w:rsidRDefault="006C2159">
            <w:pPr>
              <w:spacing w:after="0" w:line="240" w:lineRule="auto"/>
              <w:rPr>
                <w:rFonts w:ascii="Times New Roman" w:hAnsi="Times New Roman" w:cs="Times New Roman"/>
                <w:noProof/>
                <w:sz w:val="24"/>
                <w:szCs w:val="24"/>
              </w:rPr>
            </w:pPr>
            <w:r w:rsidRPr="006C2159">
              <w:rPr>
                <w:rFonts w:ascii="Times New Roman" w:hAnsi="Times New Roman" w:cs="Times New Roman"/>
                <w:noProof/>
                <w:sz w:val="24"/>
                <w:szCs w:val="24"/>
              </w:rPr>
              <w:t>kuni 600</w:t>
            </w:r>
          </w:p>
        </w:tc>
      </w:tr>
      <w:tr w:rsidR="006C2159" w:rsidRPr="006C2159" w14:paraId="0F2FC0F7" w14:textId="77777777" w:rsidTr="006C2159">
        <w:tc>
          <w:tcPr>
            <w:tcW w:w="640" w:type="pct"/>
            <w:tcBorders>
              <w:top w:val="single" w:sz="4" w:space="0" w:color="auto"/>
              <w:left w:val="single" w:sz="4" w:space="0" w:color="auto"/>
              <w:bottom w:val="single" w:sz="4" w:space="0" w:color="auto"/>
              <w:right w:val="single" w:sz="4" w:space="0" w:color="auto"/>
            </w:tcBorders>
          </w:tcPr>
          <w:p w14:paraId="691E7076" w14:textId="77777777" w:rsidR="006C2159" w:rsidRDefault="006C2159" w:rsidP="006C2159">
            <w:pPr>
              <w:spacing w:after="0" w:line="240" w:lineRule="auto"/>
              <w:jc w:val="center"/>
              <w:rPr>
                <w:rFonts w:ascii="Times New Roman" w:hAnsi="Times New Roman" w:cs="Times New Roman"/>
                <w:noProof/>
                <w:sz w:val="24"/>
                <w:szCs w:val="24"/>
              </w:rPr>
            </w:pPr>
          </w:p>
          <w:p w14:paraId="4FCD47B1" w14:textId="77777777" w:rsidR="006C2159" w:rsidRDefault="006C2159" w:rsidP="006C2159">
            <w:pPr>
              <w:spacing w:after="0" w:line="240" w:lineRule="auto"/>
              <w:jc w:val="center"/>
              <w:rPr>
                <w:rFonts w:ascii="Times New Roman" w:hAnsi="Times New Roman" w:cs="Times New Roman"/>
                <w:noProof/>
                <w:sz w:val="24"/>
                <w:szCs w:val="24"/>
              </w:rPr>
            </w:pPr>
          </w:p>
          <w:p w14:paraId="11442F90" w14:textId="643E98E5" w:rsidR="006C2159" w:rsidRPr="006C2159" w:rsidRDefault="006C2159" w:rsidP="006C2159">
            <w:pPr>
              <w:spacing w:after="0" w:line="240" w:lineRule="auto"/>
              <w:jc w:val="center"/>
              <w:rPr>
                <w:rFonts w:ascii="Times New Roman" w:hAnsi="Times New Roman" w:cs="Times New Roman"/>
                <w:b/>
                <w:noProof/>
                <w:sz w:val="24"/>
                <w:szCs w:val="24"/>
              </w:rPr>
            </w:pPr>
          </w:p>
        </w:tc>
        <w:tc>
          <w:tcPr>
            <w:tcW w:w="3318" w:type="pct"/>
            <w:tcBorders>
              <w:top w:val="single" w:sz="4" w:space="0" w:color="auto"/>
              <w:left w:val="single" w:sz="4" w:space="0" w:color="auto"/>
              <w:bottom w:val="single" w:sz="4" w:space="0" w:color="auto"/>
              <w:right w:val="single" w:sz="4" w:space="0" w:color="auto"/>
            </w:tcBorders>
            <w:hideMark/>
          </w:tcPr>
          <w:p w14:paraId="7FE16E1E" w14:textId="77777777" w:rsidR="006C2159" w:rsidRPr="006C2159" w:rsidRDefault="006C2159">
            <w:pPr>
              <w:spacing w:after="0" w:line="240" w:lineRule="auto"/>
              <w:jc w:val="both"/>
              <w:rPr>
                <w:rFonts w:ascii="Times New Roman" w:hAnsi="Times New Roman" w:cs="Times New Roman"/>
                <w:b/>
                <w:bCs/>
                <w:noProof/>
                <w:sz w:val="24"/>
                <w:szCs w:val="24"/>
              </w:rPr>
            </w:pPr>
            <w:r w:rsidRPr="006C2159">
              <w:rPr>
                <w:rFonts w:ascii="Times New Roman" w:hAnsi="Times New Roman" w:cs="Times New Roman"/>
                <w:b/>
                <w:bCs/>
                <w:noProof/>
                <w:sz w:val="24"/>
                <w:szCs w:val="24"/>
              </w:rPr>
              <w:t>Objekti teenindusvedudel (pinnase-, asfaltbetooni, konstruktsioonide jne veod) sõidukite (sh veoautodele koos haagisega või ilma, autorongidele, masinrongidele)</w:t>
            </w:r>
            <w:r w:rsidRPr="006C2159">
              <w:rPr>
                <w:rFonts w:ascii="Times New Roman" w:hAnsi="Times New Roman" w:cs="Times New Roman"/>
                <w:noProof/>
                <w:sz w:val="24"/>
                <w:szCs w:val="24"/>
              </w:rPr>
              <w:t xml:space="preserve"> </w:t>
            </w:r>
            <w:r w:rsidRPr="006C2159">
              <w:rPr>
                <w:rFonts w:ascii="Times New Roman" w:hAnsi="Times New Roman" w:cs="Times New Roman"/>
                <w:b/>
                <w:noProof/>
                <w:sz w:val="24"/>
                <w:szCs w:val="24"/>
              </w:rPr>
              <w:t xml:space="preserve"> kehtestatud igakordse registrimassi ületamise eest.  Kaalumise puhul on Tellija mõõtmise veaks 5% registrimassist, seda ületades nõuab Tellija leppetrahvi </w:t>
            </w:r>
          </w:p>
        </w:tc>
        <w:tc>
          <w:tcPr>
            <w:tcW w:w="1042" w:type="pct"/>
            <w:tcBorders>
              <w:top w:val="single" w:sz="4" w:space="0" w:color="auto"/>
              <w:left w:val="single" w:sz="4" w:space="0" w:color="auto"/>
              <w:bottom w:val="single" w:sz="4" w:space="0" w:color="auto"/>
              <w:right w:val="single" w:sz="4" w:space="0" w:color="auto"/>
            </w:tcBorders>
            <w:hideMark/>
          </w:tcPr>
          <w:p w14:paraId="064A67B1" w14:textId="77777777" w:rsidR="006C2159" w:rsidRDefault="006C2159">
            <w:pPr>
              <w:spacing w:after="0" w:line="240" w:lineRule="auto"/>
              <w:rPr>
                <w:rFonts w:ascii="Times New Roman" w:hAnsi="Times New Roman" w:cs="Times New Roman"/>
                <w:noProof/>
                <w:sz w:val="24"/>
                <w:szCs w:val="24"/>
              </w:rPr>
            </w:pPr>
            <w:r w:rsidRPr="006C2159">
              <w:rPr>
                <w:rFonts w:ascii="Times New Roman" w:hAnsi="Times New Roman" w:cs="Times New Roman"/>
                <w:noProof/>
                <w:sz w:val="24"/>
                <w:szCs w:val="24"/>
              </w:rPr>
              <w:t xml:space="preserve">iga ületatud  1 kilogrammi eest  1 euro </w:t>
            </w:r>
          </w:p>
          <w:p w14:paraId="6F78AF44" w14:textId="77777777" w:rsidR="006C2159" w:rsidRDefault="006C2159">
            <w:pPr>
              <w:spacing w:after="0" w:line="240" w:lineRule="auto"/>
              <w:rPr>
                <w:rFonts w:ascii="Times New Roman" w:hAnsi="Times New Roman" w:cs="Times New Roman"/>
                <w:noProof/>
                <w:sz w:val="24"/>
                <w:szCs w:val="24"/>
              </w:rPr>
            </w:pPr>
          </w:p>
          <w:p w14:paraId="03E8A5DD" w14:textId="695F880E" w:rsidR="006C2159" w:rsidRPr="00A923B4" w:rsidRDefault="006C2159">
            <w:pPr>
              <w:spacing w:after="0" w:line="240" w:lineRule="auto"/>
              <w:rPr>
                <w:rFonts w:ascii="Times New Roman" w:hAnsi="Times New Roman" w:cs="Times New Roman"/>
                <w:b/>
                <w:noProof/>
                <w:sz w:val="18"/>
                <w:szCs w:val="18"/>
              </w:rPr>
            </w:pPr>
          </w:p>
        </w:tc>
      </w:tr>
      <w:tr w:rsidR="006C2159" w:rsidRPr="006C2159" w14:paraId="207A940B" w14:textId="77777777" w:rsidTr="006C2159">
        <w:trPr>
          <w:trHeight w:val="1759"/>
        </w:trPr>
        <w:tc>
          <w:tcPr>
            <w:tcW w:w="640" w:type="pct"/>
            <w:tcBorders>
              <w:top w:val="single" w:sz="4" w:space="0" w:color="auto"/>
              <w:left w:val="single" w:sz="4" w:space="0" w:color="auto"/>
              <w:bottom w:val="single" w:sz="4" w:space="0" w:color="auto"/>
              <w:right w:val="single" w:sz="4" w:space="0" w:color="auto"/>
            </w:tcBorders>
          </w:tcPr>
          <w:p w14:paraId="360A879E" w14:textId="77777777" w:rsidR="006C2159" w:rsidRPr="006C2159" w:rsidRDefault="006C2159">
            <w:pPr>
              <w:spacing w:after="0" w:line="240" w:lineRule="auto"/>
              <w:rPr>
                <w:rFonts w:ascii="Times New Roman" w:hAnsi="Times New Roman" w:cs="Times New Roman"/>
                <w:noProof/>
                <w:sz w:val="24"/>
                <w:szCs w:val="24"/>
              </w:rPr>
            </w:pPr>
          </w:p>
        </w:tc>
        <w:tc>
          <w:tcPr>
            <w:tcW w:w="3318" w:type="pct"/>
            <w:tcBorders>
              <w:top w:val="single" w:sz="4" w:space="0" w:color="auto"/>
              <w:left w:val="single" w:sz="4" w:space="0" w:color="auto"/>
              <w:bottom w:val="single" w:sz="4" w:space="0" w:color="auto"/>
              <w:right w:val="single" w:sz="4" w:space="0" w:color="auto"/>
            </w:tcBorders>
            <w:hideMark/>
          </w:tcPr>
          <w:p w14:paraId="4D01819A" w14:textId="77777777" w:rsidR="006C2159" w:rsidRPr="006C2159" w:rsidRDefault="006C2159">
            <w:pPr>
              <w:spacing w:after="0" w:line="240" w:lineRule="auto"/>
              <w:rPr>
                <w:rFonts w:ascii="Times New Roman" w:hAnsi="Times New Roman" w:cs="Times New Roman"/>
                <w:b/>
                <w:bCs/>
                <w:noProof/>
                <w:sz w:val="24"/>
                <w:szCs w:val="24"/>
              </w:rPr>
            </w:pPr>
            <w:r w:rsidRPr="006C2159">
              <w:rPr>
                <w:rFonts w:ascii="Times New Roman" w:hAnsi="Times New Roman" w:cs="Times New Roman"/>
                <w:b/>
                <w:bCs/>
                <w:noProof/>
                <w:sz w:val="24"/>
                <w:szCs w:val="24"/>
              </w:rPr>
              <w:t>Järgmise etapi või tööde alustamisega viivitamise eest kalendergraafikuga võrreldes (järgmise kattekonstruktsiooni kihi paigaldamisega, märgistustöödega pärast asfaltkatte viimase kihi paigaldamist, piirde- ja tähispostide paigaldamisega pärast teepeenra vastuvõtmist jne)</w:t>
            </w:r>
          </w:p>
        </w:tc>
        <w:tc>
          <w:tcPr>
            <w:tcW w:w="1042" w:type="pct"/>
            <w:tcBorders>
              <w:top w:val="single" w:sz="4" w:space="0" w:color="auto"/>
              <w:left w:val="single" w:sz="4" w:space="0" w:color="auto"/>
              <w:bottom w:val="single" w:sz="4" w:space="0" w:color="auto"/>
              <w:right w:val="single" w:sz="4" w:space="0" w:color="auto"/>
            </w:tcBorders>
            <w:hideMark/>
          </w:tcPr>
          <w:p w14:paraId="4DD5DC8B" w14:textId="77777777" w:rsidR="006C2159" w:rsidRPr="006C2159" w:rsidRDefault="006C2159">
            <w:pPr>
              <w:spacing w:after="0" w:line="240" w:lineRule="auto"/>
              <w:rPr>
                <w:rFonts w:ascii="Times New Roman" w:hAnsi="Times New Roman" w:cs="Times New Roman"/>
                <w:noProof/>
                <w:sz w:val="24"/>
                <w:szCs w:val="24"/>
              </w:rPr>
            </w:pPr>
            <w:r w:rsidRPr="006C2159">
              <w:rPr>
                <w:rFonts w:ascii="Times New Roman" w:hAnsi="Times New Roman" w:cs="Times New Roman"/>
                <w:noProof/>
                <w:sz w:val="24"/>
                <w:szCs w:val="24"/>
              </w:rPr>
              <w:t>1000</w:t>
            </w:r>
          </w:p>
        </w:tc>
      </w:tr>
      <w:tr w:rsidR="006C2159" w:rsidRPr="006C2159" w14:paraId="731A0A7A" w14:textId="77777777" w:rsidTr="006C2159">
        <w:tc>
          <w:tcPr>
            <w:tcW w:w="640" w:type="pct"/>
            <w:tcBorders>
              <w:top w:val="single" w:sz="4" w:space="0" w:color="auto"/>
              <w:left w:val="single" w:sz="4" w:space="0" w:color="auto"/>
              <w:bottom w:val="single" w:sz="4" w:space="0" w:color="auto"/>
              <w:right w:val="single" w:sz="4" w:space="0" w:color="auto"/>
            </w:tcBorders>
          </w:tcPr>
          <w:p w14:paraId="198E31C8" w14:textId="77777777" w:rsidR="006C2159" w:rsidRPr="006C2159" w:rsidRDefault="006C2159">
            <w:pPr>
              <w:spacing w:after="0" w:line="240" w:lineRule="auto"/>
              <w:rPr>
                <w:rFonts w:ascii="Times New Roman" w:hAnsi="Times New Roman" w:cs="Times New Roman"/>
                <w:noProof/>
                <w:sz w:val="24"/>
                <w:szCs w:val="24"/>
              </w:rPr>
            </w:pPr>
          </w:p>
        </w:tc>
        <w:tc>
          <w:tcPr>
            <w:tcW w:w="3318" w:type="pct"/>
            <w:tcBorders>
              <w:top w:val="single" w:sz="4" w:space="0" w:color="auto"/>
              <w:left w:val="single" w:sz="4" w:space="0" w:color="auto"/>
              <w:bottom w:val="single" w:sz="4" w:space="0" w:color="auto"/>
              <w:right w:val="single" w:sz="4" w:space="0" w:color="auto"/>
            </w:tcBorders>
            <w:hideMark/>
          </w:tcPr>
          <w:p w14:paraId="7F187994" w14:textId="77777777" w:rsidR="006C2159" w:rsidRPr="006C2159" w:rsidRDefault="006C2159">
            <w:pPr>
              <w:spacing w:after="0" w:line="240" w:lineRule="auto"/>
              <w:rPr>
                <w:rFonts w:ascii="Times New Roman" w:hAnsi="Times New Roman" w:cs="Times New Roman"/>
                <w:b/>
                <w:bCs/>
                <w:noProof/>
                <w:sz w:val="24"/>
                <w:szCs w:val="24"/>
              </w:rPr>
            </w:pPr>
            <w:r w:rsidRPr="006C2159">
              <w:rPr>
                <w:rFonts w:ascii="Times New Roman" w:hAnsi="Times New Roman" w:cs="Times New Roman"/>
                <w:b/>
                <w:bCs/>
                <w:noProof/>
                <w:sz w:val="24"/>
                <w:szCs w:val="24"/>
              </w:rPr>
              <w:t>Tööde tegemisel puudub Tellijaga kooskõlastatud liikluskorraldusprojekt või puuduvad objekti töötsooni tähistavad liiklusmärgid või tähistus ei vasta nõuetele</w:t>
            </w:r>
          </w:p>
        </w:tc>
        <w:tc>
          <w:tcPr>
            <w:tcW w:w="1042" w:type="pct"/>
            <w:tcBorders>
              <w:top w:val="single" w:sz="4" w:space="0" w:color="auto"/>
              <w:left w:val="single" w:sz="4" w:space="0" w:color="auto"/>
              <w:bottom w:val="single" w:sz="4" w:space="0" w:color="auto"/>
              <w:right w:val="single" w:sz="4" w:space="0" w:color="auto"/>
            </w:tcBorders>
          </w:tcPr>
          <w:p w14:paraId="68FD1E3F" w14:textId="77777777" w:rsidR="006C2159" w:rsidRPr="006C2159" w:rsidRDefault="006C2159">
            <w:pPr>
              <w:spacing w:after="0" w:line="240" w:lineRule="auto"/>
              <w:rPr>
                <w:rFonts w:ascii="Times New Roman" w:hAnsi="Times New Roman" w:cs="Times New Roman"/>
                <w:noProof/>
                <w:sz w:val="24"/>
                <w:szCs w:val="24"/>
              </w:rPr>
            </w:pPr>
            <w:r w:rsidRPr="006C2159">
              <w:rPr>
                <w:rFonts w:ascii="Times New Roman" w:hAnsi="Times New Roman" w:cs="Times New Roman"/>
                <w:noProof/>
                <w:sz w:val="24"/>
                <w:szCs w:val="24"/>
              </w:rPr>
              <w:t>1000</w:t>
            </w:r>
          </w:p>
          <w:p w14:paraId="517E3DEA" w14:textId="77777777" w:rsidR="006C2159" w:rsidRPr="006C2159" w:rsidRDefault="006C2159">
            <w:pPr>
              <w:spacing w:after="0" w:line="240" w:lineRule="auto"/>
              <w:rPr>
                <w:rFonts w:ascii="Times New Roman" w:hAnsi="Times New Roman" w:cs="Times New Roman"/>
                <w:noProof/>
                <w:sz w:val="24"/>
                <w:szCs w:val="24"/>
              </w:rPr>
            </w:pPr>
          </w:p>
        </w:tc>
      </w:tr>
      <w:tr w:rsidR="006C2159" w:rsidRPr="006C2159" w14:paraId="07F812A1" w14:textId="77777777" w:rsidTr="006C2159">
        <w:trPr>
          <w:trHeight w:val="1255"/>
        </w:trPr>
        <w:tc>
          <w:tcPr>
            <w:tcW w:w="640" w:type="pct"/>
            <w:tcBorders>
              <w:top w:val="single" w:sz="4" w:space="0" w:color="auto"/>
              <w:left w:val="single" w:sz="4" w:space="0" w:color="auto"/>
              <w:bottom w:val="single" w:sz="4" w:space="0" w:color="auto"/>
              <w:right w:val="single" w:sz="4" w:space="0" w:color="auto"/>
            </w:tcBorders>
          </w:tcPr>
          <w:p w14:paraId="4910EDAB" w14:textId="77777777" w:rsidR="006C2159" w:rsidRPr="006C2159" w:rsidRDefault="006C2159">
            <w:pPr>
              <w:spacing w:after="0" w:line="240" w:lineRule="auto"/>
              <w:rPr>
                <w:rFonts w:ascii="Times New Roman" w:hAnsi="Times New Roman" w:cs="Times New Roman"/>
                <w:noProof/>
                <w:sz w:val="24"/>
                <w:szCs w:val="24"/>
              </w:rPr>
            </w:pPr>
          </w:p>
        </w:tc>
        <w:tc>
          <w:tcPr>
            <w:tcW w:w="3318" w:type="pct"/>
            <w:tcBorders>
              <w:top w:val="single" w:sz="4" w:space="0" w:color="auto"/>
              <w:left w:val="single" w:sz="4" w:space="0" w:color="auto"/>
              <w:bottom w:val="single" w:sz="4" w:space="0" w:color="auto"/>
              <w:right w:val="single" w:sz="4" w:space="0" w:color="auto"/>
            </w:tcBorders>
            <w:hideMark/>
          </w:tcPr>
          <w:p w14:paraId="297AA2FF" w14:textId="77777777" w:rsidR="006C2159" w:rsidRPr="006C2159" w:rsidRDefault="006C2159">
            <w:pPr>
              <w:pStyle w:val="Kommentaaritekst"/>
              <w:spacing w:line="276" w:lineRule="auto"/>
              <w:rPr>
                <w:rFonts w:ascii="Times New Roman" w:hAnsi="Times New Roman"/>
                <w:b/>
                <w:bCs/>
                <w:noProof/>
                <w:sz w:val="24"/>
                <w:szCs w:val="24"/>
                <w:lang w:val="et-EE"/>
              </w:rPr>
            </w:pPr>
            <w:r w:rsidRPr="006C2159">
              <w:rPr>
                <w:rFonts w:ascii="Times New Roman" w:hAnsi="Times New Roman"/>
                <w:b/>
                <w:bCs/>
                <w:noProof/>
                <w:sz w:val="24"/>
                <w:szCs w:val="24"/>
                <w:lang w:val="et-EE"/>
              </w:rPr>
              <w:t>Töövõtjaga seotud isikud ei kasuta objektil nõuetekohaseid ohutusveste või teel töötavad mehhanismid ei kasuta vilkureid</w:t>
            </w:r>
            <w:r w:rsidRPr="006C2159">
              <w:rPr>
                <w:noProof/>
                <w:lang w:val="et-EE"/>
              </w:rPr>
              <w:t xml:space="preserve"> </w:t>
            </w:r>
            <w:r w:rsidRPr="006C2159">
              <w:rPr>
                <w:rFonts w:ascii="Times New Roman" w:hAnsi="Times New Roman"/>
                <w:b/>
                <w:bCs/>
                <w:noProof/>
                <w:sz w:val="24"/>
                <w:szCs w:val="24"/>
                <w:lang w:val="et-EE"/>
              </w:rPr>
              <w:t xml:space="preserve">või vilkur ja selle kasutamine ei vasta LS § 44, § 84 (4)  </w:t>
            </w:r>
          </w:p>
        </w:tc>
        <w:tc>
          <w:tcPr>
            <w:tcW w:w="1042" w:type="pct"/>
            <w:tcBorders>
              <w:top w:val="single" w:sz="4" w:space="0" w:color="auto"/>
              <w:left w:val="single" w:sz="4" w:space="0" w:color="auto"/>
              <w:bottom w:val="single" w:sz="4" w:space="0" w:color="auto"/>
              <w:right w:val="single" w:sz="4" w:space="0" w:color="auto"/>
            </w:tcBorders>
            <w:hideMark/>
          </w:tcPr>
          <w:p w14:paraId="60CBDD5D" w14:textId="77777777" w:rsidR="006C2159" w:rsidRPr="006C2159" w:rsidRDefault="006C2159">
            <w:pPr>
              <w:spacing w:after="0" w:line="240" w:lineRule="auto"/>
              <w:rPr>
                <w:rFonts w:ascii="Times New Roman" w:hAnsi="Times New Roman" w:cs="Times New Roman"/>
                <w:noProof/>
                <w:sz w:val="24"/>
                <w:szCs w:val="24"/>
              </w:rPr>
            </w:pPr>
            <w:r w:rsidRPr="006C2159">
              <w:rPr>
                <w:rFonts w:ascii="Times New Roman" w:hAnsi="Times New Roman" w:cs="Times New Roman"/>
                <w:noProof/>
                <w:sz w:val="24"/>
                <w:szCs w:val="24"/>
              </w:rPr>
              <w:t>300</w:t>
            </w:r>
          </w:p>
        </w:tc>
      </w:tr>
      <w:tr w:rsidR="006C2159" w:rsidRPr="006C2159" w14:paraId="1559E353" w14:textId="77777777" w:rsidTr="006C2159">
        <w:tc>
          <w:tcPr>
            <w:tcW w:w="640" w:type="pct"/>
            <w:tcBorders>
              <w:top w:val="single" w:sz="4" w:space="0" w:color="auto"/>
              <w:left w:val="single" w:sz="4" w:space="0" w:color="auto"/>
              <w:bottom w:val="single" w:sz="4" w:space="0" w:color="auto"/>
              <w:right w:val="single" w:sz="4" w:space="0" w:color="auto"/>
            </w:tcBorders>
          </w:tcPr>
          <w:p w14:paraId="52EF55CC" w14:textId="77777777" w:rsidR="006C2159" w:rsidRPr="006C2159" w:rsidRDefault="006C2159">
            <w:pPr>
              <w:spacing w:after="0" w:line="240" w:lineRule="auto"/>
              <w:rPr>
                <w:rFonts w:ascii="Times New Roman" w:hAnsi="Times New Roman" w:cs="Times New Roman"/>
                <w:noProof/>
                <w:sz w:val="24"/>
                <w:szCs w:val="24"/>
              </w:rPr>
            </w:pPr>
          </w:p>
        </w:tc>
        <w:tc>
          <w:tcPr>
            <w:tcW w:w="3318" w:type="pct"/>
            <w:tcBorders>
              <w:top w:val="single" w:sz="4" w:space="0" w:color="auto"/>
              <w:left w:val="single" w:sz="4" w:space="0" w:color="auto"/>
              <w:bottom w:val="single" w:sz="4" w:space="0" w:color="auto"/>
              <w:right w:val="single" w:sz="4" w:space="0" w:color="auto"/>
            </w:tcBorders>
            <w:hideMark/>
          </w:tcPr>
          <w:p w14:paraId="42BB4C80" w14:textId="77777777" w:rsidR="006C2159" w:rsidRPr="006C2159" w:rsidRDefault="006C2159">
            <w:pPr>
              <w:spacing w:after="0" w:line="240" w:lineRule="auto"/>
              <w:rPr>
                <w:rFonts w:ascii="Times New Roman" w:hAnsi="Times New Roman" w:cs="Times New Roman"/>
                <w:noProof/>
                <w:sz w:val="24"/>
                <w:szCs w:val="24"/>
              </w:rPr>
            </w:pPr>
            <w:r w:rsidRPr="006C2159">
              <w:rPr>
                <w:rFonts w:ascii="Times New Roman" w:hAnsi="Times New Roman" w:cs="Times New Roman"/>
                <w:noProof/>
                <w:sz w:val="24"/>
                <w:szCs w:val="24"/>
              </w:rPr>
              <w:t>sama, teistkordselt</w:t>
            </w:r>
          </w:p>
        </w:tc>
        <w:tc>
          <w:tcPr>
            <w:tcW w:w="1042" w:type="pct"/>
            <w:tcBorders>
              <w:top w:val="single" w:sz="4" w:space="0" w:color="auto"/>
              <w:left w:val="single" w:sz="4" w:space="0" w:color="auto"/>
              <w:bottom w:val="single" w:sz="4" w:space="0" w:color="auto"/>
              <w:right w:val="single" w:sz="4" w:space="0" w:color="auto"/>
            </w:tcBorders>
            <w:hideMark/>
          </w:tcPr>
          <w:p w14:paraId="267298BA" w14:textId="77777777" w:rsidR="006C2159" w:rsidRPr="006C2159" w:rsidRDefault="006C2159">
            <w:pPr>
              <w:spacing w:after="0" w:line="240" w:lineRule="auto"/>
              <w:rPr>
                <w:rFonts w:ascii="Times New Roman" w:hAnsi="Times New Roman" w:cs="Times New Roman"/>
                <w:noProof/>
                <w:sz w:val="24"/>
                <w:szCs w:val="24"/>
              </w:rPr>
            </w:pPr>
            <w:r w:rsidRPr="006C2159">
              <w:rPr>
                <w:rFonts w:ascii="Times New Roman" w:hAnsi="Times New Roman" w:cs="Times New Roman"/>
                <w:noProof/>
                <w:sz w:val="24"/>
                <w:szCs w:val="24"/>
              </w:rPr>
              <w:t>600</w:t>
            </w:r>
          </w:p>
        </w:tc>
      </w:tr>
      <w:tr w:rsidR="006C2159" w:rsidRPr="006C2159" w14:paraId="1A657B0D" w14:textId="77777777" w:rsidTr="006C2159">
        <w:tc>
          <w:tcPr>
            <w:tcW w:w="640" w:type="pct"/>
            <w:tcBorders>
              <w:top w:val="single" w:sz="4" w:space="0" w:color="auto"/>
              <w:left w:val="single" w:sz="4" w:space="0" w:color="auto"/>
              <w:bottom w:val="single" w:sz="4" w:space="0" w:color="auto"/>
              <w:right w:val="single" w:sz="4" w:space="0" w:color="auto"/>
            </w:tcBorders>
          </w:tcPr>
          <w:p w14:paraId="3472B321" w14:textId="77777777" w:rsidR="006C2159" w:rsidRPr="006C2159" w:rsidRDefault="006C2159">
            <w:pPr>
              <w:spacing w:after="0" w:line="240" w:lineRule="auto"/>
              <w:rPr>
                <w:rFonts w:ascii="Times New Roman" w:hAnsi="Times New Roman" w:cs="Times New Roman"/>
                <w:noProof/>
                <w:sz w:val="24"/>
                <w:szCs w:val="24"/>
              </w:rPr>
            </w:pPr>
          </w:p>
        </w:tc>
        <w:tc>
          <w:tcPr>
            <w:tcW w:w="3318" w:type="pct"/>
            <w:tcBorders>
              <w:top w:val="single" w:sz="4" w:space="0" w:color="auto"/>
              <w:left w:val="single" w:sz="4" w:space="0" w:color="auto"/>
              <w:bottom w:val="single" w:sz="4" w:space="0" w:color="auto"/>
              <w:right w:val="single" w:sz="4" w:space="0" w:color="auto"/>
            </w:tcBorders>
            <w:hideMark/>
          </w:tcPr>
          <w:p w14:paraId="2F4ED9DF" w14:textId="77777777" w:rsidR="006C2159" w:rsidRPr="006C2159" w:rsidRDefault="006C2159">
            <w:pPr>
              <w:spacing w:after="0" w:line="240" w:lineRule="auto"/>
              <w:rPr>
                <w:rFonts w:ascii="Times New Roman" w:hAnsi="Times New Roman" w:cs="Times New Roman"/>
                <w:noProof/>
                <w:sz w:val="24"/>
                <w:szCs w:val="24"/>
              </w:rPr>
            </w:pPr>
            <w:r w:rsidRPr="006C2159">
              <w:rPr>
                <w:rFonts w:ascii="Times New Roman" w:hAnsi="Times New Roman" w:cs="Times New Roman"/>
                <w:noProof/>
                <w:sz w:val="24"/>
                <w:szCs w:val="24"/>
              </w:rPr>
              <w:t>sama, iga järgneva korra puhul</w:t>
            </w:r>
          </w:p>
        </w:tc>
        <w:tc>
          <w:tcPr>
            <w:tcW w:w="1042" w:type="pct"/>
            <w:tcBorders>
              <w:top w:val="single" w:sz="4" w:space="0" w:color="auto"/>
              <w:left w:val="single" w:sz="4" w:space="0" w:color="auto"/>
              <w:bottom w:val="single" w:sz="4" w:space="0" w:color="auto"/>
              <w:right w:val="single" w:sz="4" w:space="0" w:color="auto"/>
            </w:tcBorders>
            <w:hideMark/>
          </w:tcPr>
          <w:p w14:paraId="7F091487" w14:textId="77777777" w:rsidR="006C2159" w:rsidRPr="006C2159" w:rsidRDefault="006C2159">
            <w:pPr>
              <w:spacing w:after="0" w:line="240" w:lineRule="auto"/>
              <w:rPr>
                <w:rFonts w:ascii="Times New Roman" w:hAnsi="Times New Roman" w:cs="Times New Roman"/>
                <w:noProof/>
                <w:sz w:val="24"/>
                <w:szCs w:val="24"/>
              </w:rPr>
            </w:pPr>
            <w:r w:rsidRPr="006C2159">
              <w:rPr>
                <w:rFonts w:ascii="Times New Roman" w:hAnsi="Times New Roman" w:cs="Times New Roman"/>
                <w:noProof/>
                <w:sz w:val="24"/>
                <w:szCs w:val="24"/>
              </w:rPr>
              <w:t>1000</w:t>
            </w:r>
          </w:p>
        </w:tc>
      </w:tr>
      <w:tr w:rsidR="006C2159" w:rsidRPr="006C2159" w14:paraId="02E0BDAD" w14:textId="77777777" w:rsidTr="006C2159">
        <w:tc>
          <w:tcPr>
            <w:tcW w:w="640" w:type="pct"/>
            <w:tcBorders>
              <w:top w:val="single" w:sz="4" w:space="0" w:color="auto"/>
              <w:left w:val="single" w:sz="4" w:space="0" w:color="auto"/>
              <w:bottom w:val="single" w:sz="4" w:space="0" w:color="auto"/>
              <w:right w:val="single" w:sz="4" w:space="0" w:color="auto"/>
            </w:tcBorders>
          </w:tcPr>
          <w:p w14:paraId="422E6CE0" w14:textId="77777777" w:rsidR="006C2159" w:rsidRPr="006C2159" w:rsidRDefault="006C2159">
            <w:pPr>
              <w:spacing w:after="0" w:line="240" w:lineRule="auto"/>
              <w:rPr>
                <w:rFonts w:ascii="Times New Roman" w:hAnsi="Times New Roman" w:cs="Times New Roman"/>
                <w:noProof/>
                <w:sz w:val="24"/>
                <w:szCs w:val="24"/>
              </w:rPr>
            </w:pPr>
          </w:p>
        </w:tc>
        <w:tc>
          <w:tcPr>
            <w:tcW w:w="3318" w:type="pct"/>
            <w:tcBorders>
              <w:top w:val="single" w:sz="4" w:space="0" w:color="auto"/>
              <w:left w:val="single" w:sz="4" w:space="0" w:color="auto"/>
              <w:bottom w:val="single" w:sz="4" w:space="0" w:color="auto"/>
              <w:right w:val="single" w:sz="4" w:space="0" w:color="auto"/>
            </w:tcBorders>
            <w:hideMark/>
          </w:tcPr>
          <w:p w14:paraId="0A13AE56" w14:textId="77777777" w:rsidR="006C2159" w:rsidRPr="006C2159" w:rsidRDefault="006C2159">
            <w:pPr>
              <w:spacing w:after="0" w:line="240" w:lineRule="auto"/>
              <w:rPr>
                <w:rFonts w:ascii="Times New Roman" w:hAnsi="Times New Roman" w:cs="Times New Roman"/>
                <w:b/>
                <w:bCs/>
                <w:noProof/>
                <w:sz w:val="24"/>
                <w:szCs w:val="24"/>
              </w:rPr>
            </w:pPr>
            <w:r w:rsidRPr="006C2159">
              <w:rPr>
                <w:rFonts w:ascii="Times New Roman" w:hAnsi="Times New Roman" w:cs="Times New Roman"/>
                <w:b/>
                <w:bCs/>
                <w:noProof/>
                <w:sz w:val="24"/>
                <w:szCs w:val="24"/>
              </w:rPr>
              <w:t>Liikluskorralduse muudatustest ei ole liiklejaid teavitatud</w:t>
            </w:r>
          </w:p>
        </w:tc>
        <w:tc>
          <w:tcPr>
            <w:tcW w:w="1042" w:type="pct"/>
            <w:tcBorders>
              <w:top w:val="single" w:sz="4" w:space="0" w:color="auto"/>
              <w:left w:val="single" w:sz="4" w:space="0" w:color="auto"/>
              <w:bottom w:val="single" w:sz="4" w:space="0" w:color="auto"/>
              <w:right w:val="single" w:sz="4" w:space="0" w:color="auto"/>
            </w:tcBorders>
            <w:hideMark/>
          </w:tcPr>
          <w:p w14:paraId="3013CE5E" w14:textId="77777777" w:rsidR="006C2159" w:rsidRPr="006C2159" w:rsidRDefault="006C2159">
            <w:pPr>
              <w:spacing w:after="0" w:line="240" w:lineRule="auto"/>
              <w:rPr>
                <w:rFonts w:ascii="Times New Roman" w:hAnsi="Times New Roman" w:cs="Times New Roman"/>
                <w:noProof/>
                <w:sz w:val="24"/>
                <w:szCs w:val="24"/>
              </w:rPr>
            </w:pPr>
            <w:r w:rsidRPr="006C2159">
              <w:rPr>
                <w:rFonts w:ascii="Times New Roman" w:hAnsi="Times New Roman" w:cs="Times New Roman"/>
                <w:noProof/>
                <w:sz w:val="24"/>
                <w:szCs w:val="24"/>
              </w:rPr>
              <w:t>300</w:t>
            </w:r>
          </w:p>
        </w:tc>
      </w:tr>
      <w:tr w:rsidR="006C2159" w:rsidRPr="006C2159" w14:paraId="0353A596" w14:textId="77777777" w:rsidTr="00C95708">
        <w:tc>
          <w:tcPr>
            <w:tcW w:w="640" w:type="pct"/>
            <w:tcBorders>
              <w:top w:val="single" w:sz="4" w:space="0" w:color="auto"/>
              <w:left w:val="single" w:sz="4" w:space="0" w:color="auto"/>
              <w:bottom w:val="single" w:sz="4" w:space="0" w:color="auto"/>
              <w:right w:val="single" w:sz="4" w:space="0" w:color="auto"/>
            </w:tcBorders>
            <w:vAlign w:val="center"/>
          </w:tcPr>
          <w:p w14:paraId="02D93AF1" w14:textId="54E803D9" w:rsidR="006C2159" w:rsidRPr="00C95708" w:rsidRDefault="006C2159" w:rsidP="00C95708">
            <w:pPr>
              <w:spacing w:after="0" w:line="240" w:lineRule="auto"/>
              <w:jc w:val="center"/>
              <w:rPr>
                <w:rFonts w:ascii="Times New Roman" w:hAnsi="Times New Roman" w:cs="Times New Roman"/>
                <w:b/>
                <w:noProof/>
                <w:sz w:val="24"/>
                <w:szCs w:val="24"/>
              </w:rPr>
            </w:pPr>
          </w:p>
        </w:tc>
        <w:tc>
          <w:tcPr>
            <w:tcW w:w="3318" w:type="pct"/>
            <w:tcBorders>
              <w:top w:val="single" w:sz="4" w:space="0" w:color="auto"/>
              <w:left w:val="single" w:sz="4" w:space="0" w:color="auto"/>
              <w:bottom w:val="single" w:sz="4" w:space="0" w:color="auto"/>
              <w:right w:val="single" w:sz="4" w:space="0" w:color="auto"/>
            </w:tcBorders>
            <w:hideMark/>
          </w:tcPr>
          <w:p w14:paraId="62B6DFA8" w14:textId="77777777" w:rsidR="006C2159" w:rsidRPr="006C2159" w:rsidRDefault="006C2159">
            <w:pPr>
              <w:spacing w:after="0" w:line="240" w:lineRule="auto"/>
              <w:rPr>
                <w:rFonts w:ascii="Times New Roman" w:hAnsi="Times New Roman" w:cs="Times New Roman"/>
                <w:b/>
                <w:bCs/>
                <w:noProof/>
                <w:sz w:val="24"/>
                <w:szCs w:val="24"/>
              </w:rPr>
            </w:pPr>
            <w:r w:rsidRPr="006C2159">
              <w:rPr>
                <w:rFonts w:ascii="Times New Roman" w:hAnsi="Times New Roman" w:cs="Times New Roman"/>
                <w:b/>
                <w:bCs/>
                <w:noProof/>
                <w:sz w:val="24"/>
                <w:szCs w:val="24"/>
              </w:rPr>
              <w:t xml:space="preserve">Kõikide muude liikluskorralduse, liikluskorralduse teavitamise või tööohutuse alaste rikkumiste eest või kõrvalekaldumiste puhul </w:t>
            </w:r>
          </w:p>
        </w:tc>
        <w:tc>
          <w:tcPr>
            <w:tcW w:w="1042" w:type="pct"/>
            <w:tcBorders>
              <w:top w:val="single" w:sz="4" w:space="0" w:color="auto"/>
              <w:left w:val="single" w:sz="4" w:space="0" w:color="auto"/>
              <w:bottom w:val="single" w:sz="4" w:space="0" w:color="auto"/>
              <w:right w:val="single" w:sz="4" w:space="0" w:color="auto"/>
            </w:tcBorders>
            <w:vAlign w:val="center"/>
            <w:hideMark/>
          </w:tcPr>
          <w:p w14:paraId="1CAF1209" w14:textId="2CEF264D" w:rsidR="006C2159" w:rsidRPr="007A2110" w:rsidRDefault="006C2159" w:rsidP="00C95708">
            <w:pPr>
              <w:spacing w:after="0" w:line="240" w:lineRule="auto"/>
              <w:jc w:val="center"/>
              <w:rPr>
                <w:rFonts w:ascii="Times New Roman" w:hAnsi="Times New Roman" w:cs="Times New Roman"/>
                <w:bCs/>
                <w:noProof/>
                <w:sz w:val="24"/>
                <w:szCs w:val="24"/>
              </w:rPr>
            </w:pPr>
            <w:r w:rsidRPr="007A2110">
              <w:rPr>
                <w:rFonts w:ascii="Times New Roman" w:hAnsi="Times New Roman" w:cs="Times New Roman"/>
                <w:bCs/>
                <w:noProof/>
                <w:sz w:val="24"/>
                <w:szCs w:val="24"/>
              </w:rPr>
              <w:t>300</w:t>
            </w:r>
          </w:p>
        </w:tc>
      </w:tr>
      <w:tr w:rsidR="006C2159" w:rsidRPr="006C2159" w14:paraId="3C7244FD" w14:textId="77777777" w:rsidTr="006C2159">
        <w:tc>
          <w:tcPr>
            <w:tcW w:w="640" w:type="pct"/>
            <w:tcBorders>
              <w:top w:val="single" w:sz="4" w:space="0" w:color="auto"/>
              <w:left w:val="single" w:sz="4" w:space="0" w:color="auto"/>
              <w:bottom w:val="single" w:sz="4" w:space="0" w:color="auto"/>
              <w:right w:val="single" w:sz="4" w:space="0" w:color="auto"/>
            </w:tcBorders>
          </w:tcPr>
          <w:p w14:paraId="3B041574" w14:textId="1F8538FD" w:rsidR="006C2159" w:rsidRPr="007A2110" w:rsidRDefault="007A2110" w:rsidP="007A2110">
            <w:pPr>
              <w:spacing w:after="0" w:line="240" w:lineRule="auto"/>
              <w:jc w:val="center"/>
              <w:rPr>
                <w:rFonts w:ascii="Times New Roman" w:hAnsi="Times New Roman" w:cs="Times New Roman"/>
                <w:b/>
                <w:bCs/>
                <w:noProof/>
                <w:sz w:val="24"/>
                <w:szCs w:val="24"/>
              </w:rPr>
            </w:pPr>
            <w:r w:rsidRPr="007A2110">
              <w:rPr>
                <w:rFonts w:ascii="Times New Roman" w:hAnsi="Times New Roman" w:cs="Times New Roman"/>
                <w:b/>
                <w:bCs/>
                <w:noProof/>
                <w:sz w:val="24"/>
                <w:szCs w:val="24"/>
              </w:rPr>
              <w:t>X</w:t>
            </w:r>
          </w:p>
        </w:tc>
        <w:tc>
          <w:tcPr>
            <w:tcW w:w="3318" w:type="pct"/>
            <w:tcBorders>
              <w:top w:val="single" w:sz="4" w:space="0" w:color="auto"/>
              <w:left w:val="single" w:sz="4" w:space="0" w:color="auto"/>
              <w:bottom w:val="single" w:sz="4" w:space="0" w:color="auto"/>
              <w:right w:val="single" w:sz="4" w:space="0" w:color="auto"/>
            </w:tcBorders>
            <w:hideMark/>
          </w:tcPr>
          <w:p w14:paraId="26B7D232" w14:textId="77777777" w:rsidR="006C2159" w:rsidRPr="006C2159" w:rsidRDefault="006C2159">
            <w:pPr>
              <w:spacing w:after="0" w:line="240" w:lineRule="auto"/>
              <w:rPr>
                <w:rFonts w:ascii="Times New Roman" w:hAnsi="Times New Roman" w:cs="Times New Roman"/>
                <w:noProof/>
                <w:sz w:val="24"/>
                <w:szCs w:val="24"/>
              </w:rPr>
            </w:pPr>
            <w:r w:rsidRPr="006C2159">
              <w:rPr>
                <w:rFonts w:ascii="Times New Roman" w:hAnsi="Times New Roman" w:cs="Times New Roman"/>
                <w:noProof/>
                <w:sz w:val="24"/>
                <w:szCs w:val="24"/>
              </w:rPr>
              <w:t>sama, teistkordselt</w:t>
            </w:r>
          </w:p>
        </w:tc>
        <w:tc>
          <w:tcPr>
            <w:tcW w:w="1042" w:type="pct"/>
            <w:tcBorders>
              <w:top w:val="single" w:sz="4" w:space="0" w:color="auto"/>
              <w:left w:val="single" w:sz="4" w:space="0" w:color="auto"/>
              <w:bottom w:val="single" w:sz="4" w:space="0" w:color="auto"/>
              <w:right w:val="single" w:sz="4" w:space="0" w:color="auto"/>
            </w:tcBorders>
            <w:hideMark/>
          </w:tcPr>
          <w:p w14:paraId="7507847A" w14:textId="77777777" w:rsidR="006C2159" w:rsidRPr="007A2110" w:rsidRDefault="006C2159">
            <w:pPr>
              <w:spacing w:after="0" w:line="240" w:lineRule="auto"/>
              <w:rPr>
                <w:rFonts w:ascii="Times New Roman" w:hAnsi="Times New Roman" w:cs="Times New Roman"/>
                <w:b/>
                <w:bCs/>
                <w:noProof/>
                <w:sz w:val="24"/>
                <w:szCs w:val="24"/>
              </w:rPr>
            </w:pPr>
            <w:r w:rsidRPr="007A2110">
              <w:rPr>
                <w:rFonts w:ascii="Times New Roman" w:hAnsi="Times New Roman" w:cs="Times New Roman"/>
                <w:b/>
                <w:bCs/>
                <w:noProof/>
                <w:sz w:val="24"/>
                <w:szCs w:val="24"/>
              </w:rPr>
              <w:t>600</w:t>
            </w:r>
          </w:p>
        </w:tc>
      </w:tr>
      <w:tr w:rsidR="006C2159" w:rsidRPr="006C2159" w14:paraId="40B0B2CB" w14:textId="77777777" w:rsidTr="006C2159">
        <w:tc>
          <w:tcPr>
            <w:tcW w:w="640" w:type="pct"/>
            <w:tcBorders>
              <w:top w:val="single" w:sz="4" w:space="0" w:color="auto"/>
              <w:left w:val="single" w:sz="4" w:space="0" w:color="auto"/>
              <w:bottom w:val="single" w:sz="4" w:space="0" w:color="auto"/>
              <w:right w:val="single" w:sz="4" w:space="0" w:color="auto"/>
            </w:tcBorders>
          </w:tcPr>
          <w:p w14:paraId="06CD83BE" w14:textId="77777777" w:rsidR="006C2159" w:rsidRPr="006C2159" w:rsidRDefault="006C2159">
            <w:pPr>
              <w:spacing w:after="0" w:line="240" w:lineRule="auto"/>
              <w:rPr>
                <w:rFonts w:ascii="Times New Roman" w:hAnsi="Times New Roman" w:cs="Times New Roman"/>
                <w:noProof/>
                <w:sz w:val="24"/>
                <w:szCs w:val="24"/>
              </w:rPr>
            </w:pPr>
          </w:p>
        </w:tc>
        <w:tc>
          <w:tcPr>
            <w:tcW w:w="3318" w:type="pct"/>
            <w:tcBorders>
              <w:top w:val="single" w:sz="4" w:space="0" w:color="auto"/>
              <w:left w:val="single" w:sz="4" w:space="0" w:color="auto"/>
              <w:bottom w:val="single" w:sz="4" w:space="0" w:color="auto"/>
              <w:right w:val="single" w:sz="4" w:space="0" w:color="auto"/>
            </w:tcBorders>
            <w:hideMark/>
          </w:tcPr>
          <w:p w14:paraId="1543BDBC" w14:textId="77777777" w:rsidR="006C2159" w:rsidRPr="006C2159" w:rsidRDefault="006C2159">
            <w:pPr>
              <w:spacing w:after="0" w:line="240" w:lineRule="auto"/>
              <w:rPr>
                <w:rFonts w:ascii="Times New Roman" w:hAnsi="Times New Roman" w:cs="Times New Roman"/>
                <w:noProof/>
                <w:sz w:val="24"/>
                <w:szCs w:val="24"/>
              </w:rPr>
            </w:pPr>
            <w:r w:rsidRPr="006C2159">
              <w:rPr>
                <w:rFonts w:ascii="Times New Roman" w:hAnsi="Times New Roman" w:cs="Times New Roman"/>
                <w:noProof/>
                <w:sz w:val="24"/>
                <w:szCs w:val="24"/>
              </w:rPr>
              <w:t>sama, iga järgneva korra puhul</w:t>
            </w:r>
          </w:p>
        </w:tc>
        <w:tc>
          <w:tcPr>
            <w:tcW w:w="1042" w:type="pct"/>
            <w:tcBorders>
              <w:top w:val="single" w:sz="4" w:space="0" w:color="auto"/>
              <w:left w:val="single" w:sz="4" w:space="0" w:color="auto"/>
              <w:bottom w:val="single" w:sz="4" w:space="0" w:color="auto"/>
              <w:right w:val="single" w:sz="4" w:space="0" w:color="auto"/>
            </w:tcBorders>
            <w:hideMark/>
          </w:tcPr>
          <w:p w14:paraId="62D28121" w14:textId="77777777" w:rsidR="006C2159" w:rsidRPr="006C2159" w:rsidRDefault="006C2159">
            <w:pPr>
              <w:spacing w:after="0" w:line="240" w:lineRule="auto"/>
              <w:rPr>
                <w:rFonts w:ascii="Times New Roman" w:hAnsi="Times New Roman" w:cs="Times New Roman"/>
                <w:noProof/>
                <w:sz w:val="24"/>
                <w:szCs w:val="24"/>
              </w:rPr>
            </w:pPr>
            <w:r w:rsidRPr="006C2159">
              <w:rPr>
                <w:rFonts w:ascii="Times New Roman" w:hAnsi="Times New Roman" w:cs="Times New Roman"/>
                <w:noProof/>
                <w:sz w:val="24"/>
                <w:szCs w:val="24"/>
              </w:rPr>
              <w:t>1000</w:t>
            </w:r>
          </w:p>
        </w:tc>
      </w:tr>
      <w:tr w:rsidR="006C2159" w:rsidRPr="006C2159" w14:paraId="5A8B53ED" w14:textId="77777777" w:rsidTr="006C2159">
        <w:tc>
          <w:tcPr>
            <w:tcW w:w="640" w:type="pct"/>
            <w:tcBorders>
              <w:top w:val="single" w:sz="4" w:space="0" w:color="auto"/>
              <w:left w:val="single" w:sz="4" w:space="0" w:color="auto"/>
              <w:bottom w:val="single" w:sz="4" w:space="0" w:color="auto"/>
              <w:right w:val="single" w:sz="4" w:space="0" w:color="auto"/>
            </w:tcBorders>
          </w:tcPr>
          <w:p w14:paraId="55C7ED7C" w14:textId="77777777" w:rsidR="006C2159" w:rsidRPr="006C2159" w:rsidRDefault="006C2159">
            <w:pPr>
              <w:spacing w:after="0" w:line="240" w:lineRule="auto"/>
              <w:rPr>
                <w:rFonts w:ascii="Times New Roman" w:hAnsi="Times New Roman" w:cs="Times New Roman"/>
                <w:noProof/>
                <w:sz w:val="24"/>
                <w:szCs w:val="24"/>
              </w:rPr>
            </w:pPr>
          </w:p>
        </w:tc>
        <w:tc>
          <w:tcPr>
            <w:tcW w:w="3318" w:type="pct"/>
            <w:tcBorders>
              <w:top w:val="single" w:sz="4" w:space="0" w:color="auto"/>
              <w:left w:val="single" w:sz="4" w:space="0" w:color="auto"/>
              <w:bottom w:val="single" w:sz="4" w:space="0" w:color="auto"/>
              <w:right w:val="single" w:sz="4" w:space="0" w:color="auto"/>
            </w:tcBorders>
            <w:hideMark/>
          </w:tcPr>
          <w:p w14:paraId="71EEA2C8" w14:textId="77777777" w:rsidR="006C2159" w:rsidRPr="006C2159" w:rsidRDefault="006C2159">
            <w:pPr>
              <w:spacing w:after="0" w:line="240" w:lineRule="auto"/>
              <w:rPr>
                <w:rFonts w:ascii="Times New Roman" w:hAnsi="Times New Roman" w:cs="Times New Roman"/>
                <w:b/>
                <w:noProof/>
                <w:sz w:val="24"/>
                <w:szCs w:val="24"/>
              </w:rPr>
            </w:pPr>
            <w:r w:rsidRPr="006C2159">
              <w:rPr>
                <w:rFonts w:ascii="Times New Roman" w:hAnsi="Times New Roman" w:cs="Times New Roman"/>
                <w:b/>
                <w:noProof/>
                <w:sz w:val="24"/>
                <w:szCs w:val="24"/>
              </w:rPr>
              <w:t>Tee seisundinõude rikkumise eest</w:t>
            </w:r>
          </w:p>
        </w:tc>
        <w:tc>
          <w:tcPr>
            <w:tcW w:w="1042" w:type="pct"/>
            <w:tcBorders>
              <w:top w:val="single" w:sz="4" w:space="0" w:color="auto"/>
              <w:left w:val="single" w:sz="4" w:space="0" w:color="auto"/>
              <w:bottom w:val="single" w:sz="4" w:space="0" w:color="auto"/>
              <w:right w:val="single" w:sz="4" w:space="0" w:color="auto"/>
            </w:tcBorders>
            <w:hideMark/>
          </w:tcPr>
          <w:p w14:paraId="6AE7D2B5" w14:textId="77777777" w:rsidR="006C2159" w:rsidRPr="006C2159" w:rsidRDefault="006C2159">
            <w:pPr>
              <w:spacing w:after="0" w:line="240" w:lineRule="auto"/>
              <w:rPr>
                <w:rFonts w:ascii="Times New Roman" w:hAnsi="Times New Roman" w:cs="Times New Roman"/>
                <w:noProof/>
                <w:sz w:val="24"/>
                <w:szCs w:val="24"/>
              </w:rPr>
            </w:pPr>
            <w:r w:rsidRPr="006C2159">
              <w:rPr>
                <w:rFonts w:ascii="Times New Roman" w:hAnsi="Times New Roman" w:cs="Times New Roman"/>
                <w:noProof/>
                <w:sz w:val="24"/>
                <w:szCs w:val="24"/>
              </w:rPr>
              <w:t>300</w:t>
            </w:r>
          </w:p>
        </w:tc>
      </w:tr>
      <w:tr w:rsidR="006C2159" w:rsidRPr="006C2159" w14:paraId="3B7C5C70" w14:textId="77777777" w:rsidTr="006C2159">
        <w:tc>
          <w:tcPr>
            <w:tcW w:w="640" w:type="pct"/>
            <w:tcBorders>
              <w:top w:val="single" w:sz="4" w:space="0" w:color="auto"/>
              <w:left w:val="single" w:sz="4" w:space="0" w:color="auto"/>
              <w:bottom w:val="single" w:sz="4" w:space="0" w:color="auto"/>
              <w:right w:val="single" w:sz="4" w:space="0" w:color="auto"/>
            </w:tcBorders>
          </w:tcPr>
          <w:p w14:paraId="2E1F93C6" w14:textId="77777777" w:rsidR="006C2159" w:rsidRPr="006C2159" w:rsidRDefault="006C2159">
            <w:pPr>
              <w:spacing w:after="0" w:line="240" w:lineRule="auto"/>
              <w:rPr>
                <w:rFonts w:ascii="Times New Roman" w:hAnsi="Times New Roman" w:cs="Times New Roman"/>
                <w:noProof/>
                <w:sz w:val="24"/>
                <w:szCs w:val="24"/>
              </w:rPr>
            </w:pPr>
          </w:p>
        </w:tc>
        <w:tc>
          <w:tcPr>
            <w:tcW w:w="3318" w:type="pct"/>
            <w:tcBorders>
              <w:top w:val="single" w:sz="4" w:space="0" w:color="auto"/>
              <w:left w:val="single" w:sz="4" w:space="0" w:color="auto"/>
              <w:bottom w:val="single" w:sz="4" w:space="0" w:color="auto"/>
              <w:right w:val="single" w:sz="4" w:space="0" w:color="auto"/>
            </w:tcBorders>
            <w:hideMark/>
          </w:tcPr>
          <w:p w14:paraId="0C74E342" w14:textId="77777777" w:rsidR="006C2159" w:rsidRPr="006C2159" w:rsidRDefault="006C2159">
            <w:pPr>
              <w:spacing w:after="0" w:line="240" w:lineRule="auto"/>
              <w:rPr>
                <w:rFonts w:ascii="Times New Roman" w:hAnsi="Times New Roman" w:cs="Times New Roman"/>
                <w:noProof/>
                <w:sz w:val="24"/>
                <w:szCs w:val="24"/>
              </w:rPr>
            </w:pPr>
            <w:r w:rsidRPr="006C2159">
              <w:rPr>
                <w:rFonts w:ascii="Times New Roman" w:hAnsi="Times New Roman" w:cs="Times New Roman"/>
                <w:noProof/>
                <w:sz w:val="24"/>
                <w:szCs w:val="24"/>
              </w:rPr>
              <w:t>sama, teistkordselt</w:t>
            </w:r>
          </w:p>
        </w:tc>
        <w:tc>
          <w:tcPr>
            <w:tcW w:w="1042" w:type="pct"/>
            <w:tcBorders>
              <w:top w:val="single" w:sz="4" w:space="0" w:color="auto"/>
              <w:left w:val="single" w:sz="4" w:space="0" w:color="auto"/>
              <w:bottom w:val="single" w:sz="4" w:space="0" w:color="auto"/>
              <w:right w:val="single" w:sz="4" w:space="0" w:color="auto"/>
            </w:tcBorders>
            <w:hideMark/>
          </w:tcPr>
          <w:p w14:paraId="7B3F03A9" w14:textId="77777777" w:rsidR="006C2159" w:rsidRPr="006C2159" w:rsidRDefault="006C2159">
            <w:pPr>
              <w:spacing w:after="0" w:line="240" w:lineRule="auto"/>
              <w:rPr>
                <w:rFonts w:ascii="Times New Roman" w:hAnsi="Times New Roman" w:cs="Times New Roman"/>
                <w:noProof/>
                <w:sz w:val="24"/>
                <w:szCs w:val="24"/>
              </w:rPr>
            </w:pPr>
            <w:r w:rsidRPr="006C2159">
              <w:rPr>
                <w:rFonts w:ascii="Times New Roman" w:hAnsi="Times New Roman" w:cs="Times New Roman"/>
                <w:noProof/>
                <w:sz w:val="24"/>
                <w:szCs w:val="24"/>
              </w:rPr>
              <w:t>600</w:t>
            </w:r>
          </w:p>
        </w:tc>
      </w:tr>
      <w:tr w:rsidR="006C2159" w:rsidRPr="006C2159" w14:paraId="59448446" w14:textId="77777777" w:rsidTr="006C2159">
        <w:tc>
          <w:tcPr>
            <w:tcW w:w="640" w:type="pct"/>
            <w:tcBorders>
              <w:top w:val="single" w:sz="4" w:space="0" w:color="auto"/>
              <w:left w:val="single" w:sz="4" w:space="0" w:color="auto"/>
              <w:bottom w:val="single" w:sz="4" w:space="0" w:color="auto"/>
              <w:right w:val="single" w:sz="4" w:space="0" w:color="auto"/>
            </w:tcBorders>
          </w:tcPr>
          <w:p w14:paraId="2CF2F9D9" w14:textId="77777777" w:rsidR="006C2159" w:rsidRPr="006C2159" w:rsidRDefault="006C2159">
            <w:pPr>
              <w:spacing w:after="0" w:line="240" w:lineRule="auto"/>
              <w:rPr>
                <w:rFonts w:ascii="Times New Roman" w:hAnsi="Times New Roman" w:cs="Times New Roman"/>
                <w:noProof/>
                <w:sz w:val="24"/>
                <w:szCs w:val="24"/>
              </w:rPr>
            </w:pPr>
          </w:p>
        </w:tc>
        <w:tc>
          <w:tcPr>
            <w:tcW w:w="3318" w:type="pct"/>
            <w:tcBorders>
              <w:top w:val="single" w:sz="4" w:space="0" w:color="auto"/>
              <w:left w:val="single" w:sz="4" w:space="0" w:color="auto"/>
              <w:bottom w:val="single" w:sz="4" w:space="0" w:color="auto"/>
              <w:right w:val="single" w:sz="4" w:space="0" w:color="auto"/>
            </w:tcBorders>
            <w:hideMark/>
          </w:tcPr>
          <w:p w14:paraId="0067C66A" w14:textId="77777777" w:rsidR="006C2159" w:rsidRPr="006C2159" w:rsidRDefault="006C2159">
            <w:pPr>
              <w:spacing w:after="0" w:line="240" w:lineRule="auto"/>
              <w:rPr>
                <w:rFonts w:ascii="Times New Roman" w:hAnsi="Times New Roman" w:cs="Times New Roman"/>
                <w:noProof/>
                <w:sz w:val="24"/>
                <w:szCs w:val="24"/>
              </w:rPr>
            </w:pPr>
            <w:r w:rsidRPr="006C2159">
              <w:rPr>
                <w:rFonts w:ascii="Times New Roman" w:hAnsi="Times New Roman" w:cs="Times New Roman"/>
                <w:noProof/>
                <w:sz w:val="24"/>
                <w:szCs w:val="24"/>
              </w:rPr>
              <w:t>sama, iga järgneva korra puhul</w:t>
            </w:r>
          </w:p>
        </w:tc>
        <w:tc>
          <w:tcPr>
            <w:tcW w:w="1042" w:type="pct"/>
            <w:tcBorders>
              <w:top w:val="single" w:sz="4" w:space="0" w:color="auto"/>
              <w:left w:val="single" w:sz="4" w:space="0" w:color="auto"/>
              <w:bottom w:val="single" w:sz="4" w:space="0" w:color="auto"/>
              <w:right w:val="single" w:sz="4" w:space="0" w:color="auto"/>
            </w:tcBorders>
            <w:hideMark/>
          </w:tcPr>
          <w:p w14:paraId="2833760C" w14:textId="77777777" w:rsidR="006C2159" w:rsidRPr="006C2159" w:rsidRDefault="006C2159">
            <w:pPr>
              <w:spacing w:after="0" w:line="240" w:lineRule="auto"/>
              <w:rPr>
                <w:rFonts w:ascii="Times New Roman" w:hAnsi="Times New Roman" w:cs="Times New Roman"/>
                <w:noProof/>
                <w:sz w:val="24"/>
                <w:szCs w:val="24"/>
              </w:rPr>
            </w:pPr>
            <w:r w:rsidRPr="006C2159">
              <w:rPr>
                <w:rFonts w:ascii="Times New Roman" w:hAnsi="Times New Roman" w:cs="Times New Roman"/>
                <w:noProof/>
                <w:sz w:val="24"/>
                <w:szCs w:val="24"/>
              </w:rPr>
              <w:t>1000</w:t>
            </w:r>
          </w:p>
        </w:tc>
      </w:tr>
      <w:tr w:rsidR="006C2159" w:rsidRPr="006C2159" w14:paraId="7A31BFA2" w14:textId="77777777" w:rsidTr="006C2159">
        <w:tc>
          <w:tcPr>
            <w:tcW w:w="640" w:type="pct"/>
            <w:tcBorders>
              <w:top w:val="single" w:sz="4" w:space="0" w:color="auto"/>
              <w:left w:val="single" w:sz="4" w:space="0" w:color="auto"/>
              <w:bottom w:val="single" w:sz="4" w:space="0" w:color="auto"/>
              <w:right w:val="single" w:sz="4" w:space="0" w:color="auto"/>
            </w:tcBorders>
          </w:tcPr>
          <w:p w14:paraId="34935875" w14:textId="77777777" w:rsidR="006C2159" w:rsidRPr="006C2159" w:rsidRDefault="006C2159">
            <w:pPr>
              <w:spacing w:after="0" w:line="240" w:lineRule="auto"/>
              <w:rPr>
                <w:rFonts w:ascii="Times New Roman" w:hAnsi="Times New Roman" w:cs="Times New Roman"/>
                <w:noProof/>
                <w:sz w:val="24"/>
                <w:szCs w:val="24"/>
              </w:rPr>
            </w:pPr>
          </w:p>
        </w:tc>
        <w:tc>
          <w:tcPr>
            <w:tcW w:w="3318" w:type="pct"/>
            <w:tcBorders>
              <w:top w:val="single" w:sz="4" w:space="0" w:color="auto"/>
              <w:left w:val="single" w:sz="4" w:space="0" w:color="auto"/>
              <w:bottom w:val="single" w:sz="4" w:space="0" w:color="auto"/>
              <w:right w:val="single" w:sz="4" w:space="0" w:color="auto"/>
            </w:tcBorders>
            <w:hideMark/>
          </w:tcPr>
          <w:p w14:paraId="13B550FB" w14:textId="77777777" w:rsidR="006C2159" w:rsidRPr="006C2159" w:rsidRDefault="006C2159">
            <w:pPr>
              <w:spacing w:after="0" w:line="240" w:lineRule="auto"/>
              <w:rPr>
                <w:rFonts w:ascii="Times New Roman" w:hAnsi="Times New Roman" w:cs="Times New Roman"/>
                <w:b/>
                <w:noProof/>
                <w:sz w:val="24"/>
                <w:szCs w:val="24"/>
              </w:rPr>
            </w:pPr>
            <w:r w:rsidRPr="006C2159">
              <w:rPr>
                <w:rFonts w:ascii="Times New Roman" w:hAnsi="Times New Roman" w:cs="Times New Roman"/>
                <w:b/>
                <w:noProof/>
                <w:sz w:val="24"/>
                <w:szCs w:val="24"/>
              </w:rPr>
              <w:t>Garantiitööde kokkulepitud ajalise, liikluskorralduslike või muude  piirangute tähtajast mittekinnipidamise eest</w:t>
            </w:r>
          </w:p>
        </w:tc>
        <w:tc>
          <w:tcPr>
            <w:tcW w:w="1042" w:type="pct"/>
            <w:tcBorders>
              <w:top w:val="single" w:sz="4" w:space="0" w:color="auto"/>
              <w:left w:val="single" w:sz="4" w:space="0" w:color="auto"/>
              <w:bottom w:val="single" w:sz="4" w:space="0" w:color="auto"/>
              <w:right w:val="single" w:sz="4" w:space="0" w:color="auto"/>
            </w:tcBorders>
            <w:hideMark/>
          </w:tcPr>
          <w:p w14:paraId="2DF063CF" w14:textId="77777777" w:rsidR="006C2159" w:rsidRPr="006C2159" w:rsidRDefault="006C2159">
            <w:pPr>
              <w:spacing w:after="0" w:line="240" w:lineRule="auto"/>
              <w:rPr>
                <w:rFonts w:ascii="Times New Roman" w:hAnsi="Times New Roman" w:cs="Times New Roman"/>
                <w:noProof/>
                <w:sz w:val="24"/>
                <w:szCs w:val="24"/>
              </w:rPr>
            </w:pPr>
            <w:r w:rsidRPr="006C2159">
              <w:rPr>
                <w:rFonts w:ascii="Times New Roman" w:hAnsi="Times New Roman" w:cs="Times New Roman"/>
                <w:noProof/>
                <w:sz w:val="24"/>
                <w:szCs w:val="24"/>
              </w:rPr>
              <w:t>2000 iga päeva eest</w:t>
            </w:r>
          </w:p>
        </w:tc>
      </w:tr>
      <w:tr w:rsidR="006C2159" w:rsidRPr="006C2159" w14:paraId="56CCF16C" w14:textId="77777777" w:rsidTr="006C2159">
        <w:tc>
          <w:tcPr>
            <w:tcW w:w="640" w:type="pct"/>
            <w:tcBorders>
              <w:top w:val="single" w:sz="4" w:space="0" w:color="auto"/>
              <w:left w:val="single" w:sz="4" w:space="0" w:color="auto"/>
              <w:bottom w:val="single" w:sz="4" w:space="0" w:color="auto"/>
              <w:right w:val="single" w:sz="4" w:space="0" w:color="auto"/>
            </w:tcBorders>
          </w:tcPr>
          <w:p w14:paraId="619195F9" w14:textId="77777777" w:rsidR="006C2159" w:rsidRPr="006C2159" w:rsidRDefault="006C2159">
            <w:pPr>
              <w:spacing w:after="0" w:line="240" w:lineRule="auto"/>
              <w:rPr>
                <w:rFonts w:ascii="Times New Roman" w:hAnsi="Times New Roman" w:cs="Times New Roman"/>
                <w:noProof/>
                <w:sz w:val="24"/>
                <w:szCs w:val="24"/>
              </w:rPr>
            </w:pPr>
          </w:p>
        </w:tc>
        <w:tc>
          <w:tcPr>
            <w:tcW w:w="3318" w:type="pct"/>
            <w:tcBorders>
              <w:top w:val="single" w:sz="4" w:space="0" w:color="auto"/>
              <w:left w:val="single" w:sz="4" w:space="0" w:color="auto"/>
              <w:bottom w:val="single" w:sz="4" w:space="0" w:color="auto"/>
              <w:right w:val="single" w:sz="4" w:space="0" w:color="auto"/>
            </w:tcBorders>
            <w:hideMark/>
          </w:tcPr>
          <w:p w14:paraId="29334F7E" w14:textId="77777777" w:rsidR="006C2159" w:rsidRPr="006C2159" w:rsidRDefault="006C2159">
            <w:pPr>
              <w:spacing w:after="0" w:line="240" w:lineRule="auto"/>
              <w:rPr>
                <w:rFonts w:ascii="Times New Roman" w:hAnsi="Times New Roman" w:cs="Times New Roman"/>
                <w:b/>
                <w:noProof/>
                <w:sz w:val="24"/>
                <w:szCs w:val="24"/>
              </w:rPr>
            </w:pPr>
            <w:r w:rsidRPr="006C2159">
              <w:rPr>
                <w:rFonts w:ascii="Times New Roman" w:hAnsi="Times New Roman" w:cs="Times New Roman"/>
                <w:b/>
                <w:noProof/>
                <w:sz w:val="24"/>
                <w:szCs w:val="24"/>
              </w:rPr>
              <w:t>Järgmise nädala tööde graafiku esitamata jätmise või vale graafiku esitamise või graafikus esitatud tööde mitteteostamise eest</w:t>
            </w:r>
          </w:p>
        </w:tc>
        <w:tc>
          <w:tcPr>
            <w:tcW w:w="1042" w:type="pct"/>
            <w:tcBorders>
              <w:top w:val="single" w:sz="4" w:space="0" w:color="auto"/>
              <w:left w:val="single" w:sz="4" w:space="0" w:color="auto"/>
              <w:bottom w:val="single" w:sz="4" w:space="0" w:color="auto"/>
              <w:right w:val="single" w:sz="4" w:space="0" w:color="auto"/>
            </w:tcBorders>
            <w:hideMark/>
          </w:tcPr>
          <w:p w14:paraId="307D6D0A" w14:textId="77777777" w:rsidR="006C2159" w:rsidRPr="006C2159" w:rsidRDefault="006C2159">
            <w:pPr>
              <w:spacing w:after="0" w:line="240" w:lineRule="auto"/>
              <w:rPr>
                <w:rFonts w:ascii="Times New Roman" w:hAnsi="Times New Roman" w:cs="Times New Roman"/>
                <w:noProof/>
                <w:sz w:val="24"/>
                <w:szCs w:val="24"/>
              </w:rPr>
            </w:pPr>
            <w:r w:rsidRPr="006C2159">
              <w:rPr>
                <w:rFonts w:ascii="Times New Roman" w:hAnsi="Times New Roman" w:cs="Times New Roman"/>
                <w:noProof/>
                <w:sz w:val="24"/>
                <w:szCs w:val="24"/>
              </w:rPr>
              <w:t>600</w:t>
            </w:r>
          </w:p>
        </w:tc>
      </w:tr>
      <w:tr w:rsidR="006C2159" w:rsidRPr="006C2159" w14:paraId="7A092B50" w14:textId="77777777" w:rsidTr="006C2159">
        <w:tc>
          <w:tcPr>
            <w:tcW w:w="640" w:type="pct"/>
            <w:tcBorders>
              <w:top w:val="single" w:sz="4" w:space="0" w:color="auto"/>
              <w:left w:val="single" w:sz="4" w:space="0" w:color="auto"/>
              <w:bottom w:val="single" w:sz="4" w:space="0" w:color="auto"/>
              <w:right w:val="single" w:sz="4" w:space="0" w:color="auto"/>
            </w:tcBorders>
          </w:tcPr>
          <w:p w14:paraId="0F569F71" w14:textId="77777777" w:rsidR="006C2159" w:rsidRPr="006C2159" w:rsidRDefault="006C2159">
            <w:pPr>
              <w:spacing w:after="0" w:line="240" w:lineRule="auto"/>
              <w:rPr>
                <w:rFonts w:ascii="Times New Roman" w:hAnsi="Times New Roman" w:cs="Times New Roman"/>
                <w:noProof/>
                <w:sz w:val="24"/>
                <w:szCs w:val="24"/>
              </w:rPr>
            </w:pPr>
          </w:p>
        </w:tc>
        <w:tc>
          <w:tcPr>
            <w:tcW w:w="3318" w:type="pct"/>
            <w:tcBorders>
              <w:top w:val="single" w:sz="4" w:space="0" w:color="auto"/>
              <w:left w:val="single" w:sz="4" w:space="0" w:color="auto"/>
              <w:bottom w:val="single" w:sz="4" w:space="0" w:color="auto"/>
              <w:right w:val="single" w:sz="4" w:space="0" w:color="auto"/>
            </w:tcBorders>
            <w:hideMark/>
          </w:tcPr>
          <w:p w14:paraId="092F786A" w14:textId="77777777" w:rsidR="006C2159" w:rsidRPr="006C2159" w:rsidRDefault="006C2159">
            <w:pPr>
              <w:spacing w:after="0" w:line="240" w:lineRule="auto"/>
              <w:rPr>
                <w:rFonts w:ascii="Times New Roman" w:hAnsi="Times New Roman" w:cs="Times New Roman"/>
                <w:b/>
                <w:noProof/>
                <w:sz w:val="24"/>
                <w:szCs w:val="24"/>
              </w:rPr>
            </w:pPr>
            <w:r w:rsidRPr="006C2159">
              <w:rPr>
                <w:rFonts w:ascii="Times New Roman" w:hAnsi="Times New Roman" w:cs="Times New Roman"/>
                <w:b/>
                <w:noProof/>
                <w:sz w:val="24"/>
                <w:szCs w:val="24"/>
              </w:rPr>
              <w:t>Puudulikest töö dokumenteerimistest tulenevad rikkumised</w:t>
            </w:r>
          </w:p>
        </w:tc>
        <w:tc>
          <w:tcPr>
            <w:tcW w:w="1042" w:type="pct"/>
            <w:tcBorders>
              <w:top w:val="single" w:sz="4" w:space="0" w:color="auto"/>
              <w:left w:val="single" w:sz="4" w:space="0" w:color="auto"/>
              <w:bottom w:val="single" w:sz="4" w:space="0" w:color="auto"/>
              <w:right w:val="single" w:sz="4" w:space="0" w:color="auto"/>
            </w:tcBorders>
            <w:hideMark/>
          </w:tcPr>
          <w:p w14:paraId="7D2B1D1F" w14:textId="77777777" w:rsidR="006C2159" w:rsidRPr="006C2159" w:rsidRDefault="006C2159">
            <w:pPr>
              <w:spacing w:after="0" w:line="240" w:lineRule="auto"/>
              <w:rPr>
                <w:rFonts w:ascii="Times New Roman" w:hAnsi="Times New Roman" w:cs="Times New Roman"/>
                <w:noProof/>
                <w:sz w:val="24"/>
                <w:szCs w:val="24"/>
              </w:rPr>
            </w:pPr>
            <w:r w:rsidRPr="006C2159">
              <w:rPr>
                <w:rFonts w:ascii="Times New Roman" w:hAnsi="Times New Roman" w:cs="Times New Roman"/>
                <w:noProof/>
                <w:sz w:val="24"/>
                <w:szCs w:val="24"/>
              </w:rPr>
              <w:t>300</w:t>
            </w:r>
          </w:p>
        </w:tc>
      </w:tr>
      <w:tr w:rsidR="006C2159" w:rsidRPr="006C2159" w14:paraId="01148373" w14:textId="77777777" w:rsidTr="006C2159">
        <w:tc>
          <w:tcPr>
            <w:tcW w:w="640" w:type="pct"/>
            <w:tcBorders>
              <w:top w:val="single" w:sz="4" w:space="0" w:color="auto"/>
              <w:left w:val="single" w:sz="4" w:space="0" w:color="auto"/>
              <w:bottom w:val="single" w:sz="4" w:space="0" w:color="auto"/>
              <w:right w:val="single" w:sz="4" w:space="0" w:color="auto"/>
            </w:tcBorders>
          </w:tcPr>
          <w:p w14:paraId="4CCFA269" w14:textId="77777777" w:rsidR="006C2159" w:rsidRPr="006C2159" w:rsidRDefault="006C2159">
            <w:pPr>
              <w:spacing w:after="0" w:line="240" w:lineRule="auto"/>
              <w:rPr>
                <w:rFonts w:ascii="Times New Roman" w:hAnsi="Times New Roman" w:cs="Times New Roman"/>
                <w:noProof/>
                <w:sz w:val="24"/>
                <w:szCs w:val="24"/>
              </w:rPr>
            </w:pPr>
          </w:p>
        </w:tc>
        <w:tc>
          <w:tcPr>
            <w:tcW w:w="3318" w:type="pct"/>
            <w:tcBorders>
              <w:top w:val="single" w:sz="4" w:space="0" w:color="auto"/>
              <w:left w:val="single" w:sz="4" w:space="0" w:color="auto"/>
              <w:bottom w:val="single" w:sz="4" w:space="0" w:color="auto"/>
              <w:right w:val="single" w:sz="4" w:space="0" w:color="auto"/>
            </w:tcBorders>
            <w:hideMark/>
          </w:tcPr>
          <w:p w14:paraId="549663D8" w14:textId="77777777" w:rsidR="006C2159" w:rsidRPr="006C2159" w:rsidRDefault="006C2159">
            <w:pPr>
              <w:spacing w:after="0" w:line="240" w:lineRule="auto"/>
              <w:rPr>
                <w:rFonts w:ascii="Times New Roman" w:hAnsi="Times New Roman" w:cs="Times New Roman"/>
                <w:b/>
                <w:noProof/>
                <w:sz w:val="24"/>
                <w:szCs w:val="24"/>
              </w:rPr>
            </w:pPr>
            <w:r w:rsidRPr="006C2159">
              <w:rPr>
                <w:rFonts w:ascii="Times New Roman" w:hAnsi="Times New Roman" w:cs="Times New Roman"/>
                <w:b/>
                <w:noProof/>
                <w:sz w:val="24"/>
                <w:szCs w:val="24"/>
              </w:rPr>
              <w:t xml:space="preserve">Kõik muud eelpool nimetamata rikkumised, iga rikkumise eest, kuni- </w:t>
            </w:r>
          </w:p>
        </w:tc>
        <w:tc>
          <w:tcPr>
            <w:tcW w:w="1042" w:type="pct"/>
            <w:tcBorders>
              <w:top w:val="single" w:sz="4" w:space="0" w:color="auto"/>
              <w:left w:val="single" w:sz="4" w:space="0" w:color="auto"/>
              <w:bottom w:val="single" w:sz="4" w:space="0" w:color="auto"/>
              <w:right w:val="single" w:sz="4" w:space="0" w:color="auto"/>
            </w:tcBorders>
            <w:hideMark/>
          </w:tcPr>
          <w:p w14:paraId="28813D2C" w14:textId="77777777" w:rsidR="006C2159" w:rsidRPr="006C2159" w:rsidRDefault="006C2159">
            <w:pPr>
              <w:spacing w:after="0" w:line="240" w:lineRule="auto"/>
              <w:rPr>
                <w:rFonts w:ascii="Times New Roman" w:hAnsi="Times New Roman" w:cs="Times New Roman"/>
                <w:noProof/>
                <w:sz w:val="24"/>
                <w:szCs w:val="24"/>
              </w:rPr>
            </w:pPr>
            <w:r w:rsidRPr="006C2159">
              <w:rPr>
                <w:rFonts w:ascii="Times New Roman" w:hAnsi="Times New Roman" w:cs="Times New Roman"/>
                <w:noProof/>
                <w:sz w:val="24"/>
                <w:szCs w:val="24"/>
              </w:rPr>
              <w:t xml:space="preserve"> 10000</w:t>
            </w:r>
          </w:p>
        </w:tc>
      </w:tr>
    </w:tbl>
    <w:p w14:paraId="0B038AAD" w14:textId="77777777" w:rsidR="006C2159" w:rsidRPr="006C2159" w:rsidRDefault="006C2159" w:rsidP="006C2159">
      <w:pPr>
        <w:spacing w:after="0" w:line="240" w:lineRule="auto"/>
        <w:rPr>
          <w:rFonts w:ascii="Times New Roman" w:hAnsi="Times New Roman" w:cs="Times New Roman"/>
          <w:noProof/>
          <w:sz w:val="24"/>
          <w:szCs w:val="24"/>
        </w:rPr>
      </w:pPr>
    </w:p>
    <w:p w14:paraId="21EBD5A9" w14:textId="77777777" w:rsidR="006C2159" w:rsidRPr="006C2159" w:rsidRDefault="006C2159" w:rsidP="006C2159">
      <w:pPr>
        <w:spacing w:after="0" w:line="240" w:lineRule="auto"/>
        <w:rPr>
          <w:rFonts w:ascii="Times New Roman" w:hAnsi="Times New Roman" w:cs="Times New Roman"/>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6C2159" w:rsidRPr="006C2159" w14:paraId="302331DE" w14:textId="77777777" w:rsidTr="006C2159">
        <w:tc>
          <w:tcPr>
            <w:tcW w:w="5000" w:type="pct"/>
            <w:tcBorders>
              <w:top w:val="single" w:sz="4" w:space="0" w:color="auto"/>
              <w:left w:val="single" w:sz="4" w:space="0" w:color="auto"/>
              <w:bottom w:val="single" w:sz="4" w:space="0" w:color="auto"/>
              <w:right w:val="single" w:sz="4" w:space="0" w:color="auto"/>
            </w:tcBorders>
            <w:hideMark/>
          </w:tcPr>
          <w:p w14:paraId="48CAF726" w14:textId="17EFED44" w:rsidR="00635B44" w:rsidRDefault="006C2159" w:rsidP="007A2110">
            <w:pPr>
              <w:spacing w:after="0" w:line="240" w:lineRule="auto"/>
              <w:rPr>
                <w:rFonts w:ascii="Times New Roman" w:hAnsi="Times New Roman" w:cs="Times New Roman"/>
                <w:b/>
                <w:bCs/>
                <w:noProof/>
                <w:sz w:val="24"/>
                <w:szCs w:val="24"/>
              </w:rPr>
            </w:pPr>
            <w:r w:rsidRPr="006C2159">
              <w:rPr>
                <w:rFonts w:ascii="Times New Roman" w:hAnsi="Times New Roman" w:cs="Times New Roman"/>
                <w:b/>
                <w:bCs/>
                <w:noProof/>
                <w:sz w:val="24"/>
                <w:szCs w:val="24"/>
              </w:rPr>
              <w:t>Inseneri / T</w:t>
            </w:r>
            <w:r w:rsidR="009673D1">
              <w:rPr>
                <w:rFonts w:ascii="Times New Roman" w:hAnsi="Times New Roman" w:cs="Times New Roman"/>
                <w:b/>
                <w:bCs/>
                <w:noProof/>
                <w:sz w:val="24"/>
                <w:szCs w:val="24"/>
              </w:rPr>
              <w:t xml:space="preserve">ellija Projektijuhi selgitused: </w:t>
            </w:r>
            <w:r w:rsidR="007A2110">
              <w:rPr>
                <w:rFonts w:ascii="Times New Roman" w:hAnsi="Times New Roman" w:cs="Times New Roman"/>
                <w:b/>
                <w:bCs/>
                <w:noProof/>
                <w:sz w:val="24"/>
                <w:szCs w:val="24"/>
              </w:rPr>
              <w:t>Töövõtja teostas asfalteerimistöid 11.05.2023. Kooskõlastatud skeemi kohaselt oleks pidanud olema põhiteelt parempööre Vana-Keila mnt ringristmikule olema suletud. Eelnev oleks eeldanud ka Transpordiameti sulgemisluba. Töövõtjal sulgemisluba puudus ning selleks, et olukorda lahendada kasutati ringilt väljuvat suunda kahesuunaliselt (reguleerijad). Selle kohta puudus aga kooskõlastatud liikluskorraldusskeem ning veoautode ja busside pöörded muudeti võimatuks (kitsastes oludes tagasipööre).</w:t>
            </w:r>
            <w:r w:rsidR="00B41456">
              <w:rPr>
                <w:rFonts w:ascii="Times New Roman" w:hAnsi="Times New Roman" w:cs="Times New Roman"/>
                <w:b/>
                <w:bCs/>
                <w:noProof/>
                <w:sz w:val="24"/>
                <w:szCs w:val="24"/>
              </w:rPr>
              <w:t xml:space="preserve"> </w:t>
            </w:r>
          </w:p>
          <w:p w14:paraId="58D0A5CE" w14:textId="754899DF" w:rsidR="009D443F" w:rsidRDefault="003E3E41" w:rsidP="007A2110">
            <w:pPr>
              <w:spacing w:after="0" w:line="240" w:lineRule="auto"/>
              <w:rPr>
                <w:rFonts w:ascii="Times New Roman" w:hAnsi="Times New Roman" w:cs="Times New Roman"/>
                <w:b/>
                <w:bCs/>
                <w:noProof/>
                <w:sz w:val="24"/>
                <w:szCs w:val="24"/>
              </w:rPr>
            </w:pPr>
            <w:r>
              <w:rPr>
                <w:noProof/>
              </w:rPr>
              <w:lastRenderedPageBreak/>
              <w:drawing>
                <wp:inline distT="0" distB="0" distL="0" distR="0" wp14:anchorId="2315AC8C" wp14:editId="45A4687F">
                  <wp:extent cx="4737099" cy="3552825"/>
                  <wp:effectExtent l="0" t="0" r="6985" b="0"/>
                  <wp:docPr id="181217912"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50311" cy="3562734"/>
                          </a:xfrm>
                          <a:prstGeom prst="rect">
                            <a:avLst/>
                          </a:prstGeom>
                          <a:noFill/>
                          <a:ln>
                            <a:noFill/>
                          </a:ln>
                        </pic:spPr>
                      </pic:pic>
                    </a:graphicData>
                  </a:graphic>
                </wp:inline>
              </w:drawing>
            </w:r>
          </w:p>
          <w:p w14:paraId="19B9B6D5" w14:textId="4454FF9E" w:rsidR="007A2110" w:rsidRPr="00635B44" w:rsidRDefault="003E3E41" w:rsidP="007A2110">
            <w:pPr>
              <w:spacing w:after="0" w:line="240" w:lineRule="auto"/>
              <w:rPr>
                <w:rFonts w:ascii="Times New Roman" w:hAnsi="Times New Roman" w:cs="Times New Roman"/>
                <w:b/>
                <w:bCs/>
                <w:noProof/>
                <w:sz w:val="24"/>
                <w:szCs w:val="24"/>
              </w:rPr>
            </w:pPr>
            <w:r>
              <w:rPr>
                <w:noProof/>
              </w:rPr>
              <w:drawing>
                <wp:inline distT="0" distB="0" distL="0" distR="0" wp14:anchorId="3A81A58F" wp14:editId="01294A16">
                  <wp:extent cx="4711700" cy="3533775"/>
                  <wp:effectExtent l="0" t="0" r="0" b="9525"/>
                  <wp:docPr id="1742215904"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11700" cy="3533775"/>
                          </a:xfrm>
                          <a:prstGeom prst="rect">
                            <a:avLst/>
                          </a:prstGeom>
                          <a:noFill/>
                          <a:ln>
                            <a:noFill/>
                          </a:ln>
                        </pic:spPr>
                      </pic:pic>
                    </a:graphicData>
                  </a:graphic>
                </wp:inline>
              </w:drawing>
            </w:r>
          </w:p>
          <w:p w14:paraId="46045AFB" w14:textId="1DE30DCA" w:rsidR="004763D6" w:rsidRPr="006C2159" w:rsidRDefault="004763D6" w:rsidP="00176451">
            <w:pPr>
              <w:spacing w:after="0" w:line="240" w:lineRule="auto"/>
              <w:rPr>
                <w:rFonts w:ascii="Times New Roman" w:hAnsi="Times New Roman" w:cs="Times New Roman"/>
                <w:b/>
                <w:bCs/>
                <w:noProof/>
                <w:sz w:val="24"/>
                <w:szCs w:val="24"/>
              </w:rPr>
            </w:pPr>
            <w:r>
              <w:rPr>
                <w:rFonts w:ascii="Times New Roman" w:hAnsi="Times New Roman" w:cs="Times New Roman"/>
                <w:b/>
                <w:bCs/>
                <w:noProof/>
                <w:sz w:val="24"/>
                <w:szCs w:val="24"/>
              </w:rPr>
              <w:t xml:space="preserve"> </w:t>
            </w:r>
          </w:p>
        </w:tc>
      </w:tr>
    </w:tbl>
    <w:p w14:paraId="513CCD97" w14:textId="55A0E14B" w:rsidR="006C2159" w:rsidRPr="006C2159" w:rsidRDefault="006C2159" w:rsidP="006C2159">
      <w:pPr>
        <w:spacing w:after="0" w:line="240" w:lineRule="auto"/>
        <w:rPr>
          <w:rFonts w:ascii="Times New Roman" w:hAnsi="Times New Roman" w:cs="Times New Roman"/>
          <w:noProof/>
          <w:sz w:val="24"/>
          <w:szCs w:val="24"/>
        </w:rPr>
      </w:pPr>
      <w:r w:rsidRPr="006C2159">
        <w:rPr>
          <w:rFonts w:ascii="Times New Roman" w:hAnsi="Times New Roman" w:cs="Times New Roman"/>
          <w:noProof/>
          <w:sz w:val="24"/>
          <w:szCs w:val="24"/>
        </w:rPr>
        <w:lastRenderedPageBreak/>
        <w:tab/>
      </w:r>
      <w:r w:rsidRPr="006C2159">
        <w:rPr>
          <w:rFonts w:ascii="Times New Roman" w:hAnsi="Times New Roman" w:cs="Times New Roman"/>
          <w:noProof/>
          <w:sz w:val="24"/>
          <w:szCs w:val="24"/>
        </w:rPr>
        <w:tab/>
      </w:r>
    </w:p>
    <w:p w14:paraId="24A7FFAF" w14:textId="1BDD0037" w:rsidR="006C2159" w:rsidRDefault="006C2159" w:rsidP="006C2159">
      <w:pPr>
        <w:spacing w:after="0" w:line="240" w:lineRule="auto"/>
        <w:rPr>
          <w:rFonts w:ascii="Times New Roman" w:hAnsi="Times New Roman" w:cs="Times New Roman"/>
          <w:noProof/>
          <w:sz w:val="24"/>
          <w:szCs w:val="24"/>
        </w:rPr>
      </w:pPr>
    </w:p>
    <w:p w14:paraId="5C08B0A4" w14:textId="77777777" w:rsidR="00DC2718" w:rsidRDefault="00DC2718" w:rsidP="006C2159">
      <w:pPr>
        <w:spacing w:after="0" w:line="240" w:lineRule="auto"/>
        <w:rPr>
          <w:rFonts w:ascii="Times New Roman" w:hAnsi="Times New Roman" w:cs="Times New Roman"/>
          <w:noProof/>
          <w:sz w:val="24"/>
          <w:szCs w:val="24"/>
        </w:rPr>
      </w:pPr>
    </w:p>
    <w:p w14:paraId="546D7C23" w14:textId="77777777" w:rsidR="00DC2718" w:rsidRDefault="00DC2718" w:rsidP="006C2159">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Allkirjastanud:</w:t>
      </w:r>
    </w:p>
    <w:p w14:paraId="07402E86" w14:textId="77777777" w:rsidR="00DC2718" w:rsidRPr="006C2159" w:rsidRDefault="00DC2718" w:rsidP="006C2159">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 </w:t>
      </w:r>
    </w:p>
    <w:p w14:paraId="44457C0F" w14:textId="111768F6" w:rsidR="00DC2718" w:rsidRDefault="009D443F" w:rsidP="006C2159">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Mihkel Kask</w:t>
      </w:r>
      <w:r w:rsidR="00DC2718">
        <w:rPr>
          <w:rFonts w:ascii="Times New Roman" w:hAnsi="Times New Roman" w:cs="Times New Roman"/>
          <w:noProof/>
          <w:sz w:val="24"/>
          <w:szCs w:val="24"/>
        </w:rPr>
        <w:tab/>
      </w:r>
      <w:r w:rsidR="00DC2718">
        <w:rPr>
          <w:rFonts w:ascii="Times New Roman" w:hAnsi="Times New Roman" w:cs="Times New Roman"/>
          <w:noProof/>
          <w:sz w:val="24"/>
          <w:szCs w:val="24"/>
        </w:rPr>
        <w:tab/>
      </w:r>
      <w:r w:rsidR="00DC2718">
        <w:rPr>
          <w:rFonts w:ascii="Times New Roman" w:hAnsi="Times New Roman" w:cs="Times New Roman"/>
          <w:noProof/>
          <w:sz w:val="24"/>
          <w:szCs w:val="24"/>
        </w:rPr>
        <w:tab/>
        <w:t>Ksenia Haavistu</w:t>
      </w:r>
      <w:r w:rsidR="00DC2718">
        <w:rPr>
          <w:rFonts w:ascii="Times New Roman" w:hAnsi="Times New Roman" w:cs="Times New Roman"/>
          <w:noProof/>
          <w:sz w:val="24"/>
          <w:szCs w:val="24"/>
        </w:rPr>
        <w:tab/>
      </w:r>
      <w:r w:rsidR="00DC2718">
        <w:rPr>
          <w:rFonts w:ascii="Times New Roman" w:hAnsi="Times New Roman" w:cs="Times New Roman"/>
          <w:noProof/>
          <w:sz w:val="24"/>
          <w:szCs w:val="24"/>
        </w:rPr>
        <w:tab/>
      </w:r>
      <w:r w:rsidR="00DC2718">
        <w:rPr>
          <w:rFonts w:ascii="Times New Roman" w:hAnsi="Times New Roman" w:cs="Times New Roman"/>
          <w:noProof/>
          <w:sz w:val="24"/>
          <w:szCs w:val="24"/>
        </w:rPr>
        <w:tab/>
      </w:r>
      <w:r>
        <w:rPr>
          <w:rFonts w:ascii="Times New Roman" w:hAnsi="Times New Roman" w:cs="Times New Roman"/>
          <w:noProof/>
          <w:sz w:val="24"/>
          <w:szCs w:val="24"/>
        </w:rPr>
        <w:t>Priit Suits</w:t>
      </w:r>
    </w:p>
    <w:p w14:paraId="38B519D3" w14:textId="6D84EDA0" w:rsidR="006C2159" w:rsidRPr="006C2159" w:rsidRDefault="00DC2718" w:rsidP="006C2159">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Lindvill OÜ</w:t>
      </w:r>
      <w:r w:rsidR="006C2159" w:rsidRPr="006C2159">
        <w:rPr>
          <w:rFonts w:ascii="Times New Roman" w:hAnsi="Times New Roman" w:cs="Times New Roman"/>
          <w:noProof/>
          <w:sz w:val="24"/>
          <w:szCs w:val="24"/>
        </w:rPr>
        <w:tab/>
      </w:r>
      <w:r w:rsidR="006C2159" w:rsidRPr="006C2159">
        <w:rPr>
          <w:rFonts w:ascii="Times New Roman" w:hAnsi="Times New Roman" w:cs="Times New Roman"/>
          <w:noProof/>
          <w:sz w:val="24"/>
          <w:szCs w:val="24"/>
        </w:rPr>
        <w:tab/>
      </w:r>
      <w:r>
        <w:rPr>
          <w:rFonts w:ascii="Times New Roman" w:hAnsi="Times New Roman" w:cs="Times New Roman"/>
          <w:noProof/>
          <w:sz w:val="24"/>
          <w:szCs w:val="24"/>
        </w:rPr>
        <w:tab/>
        <w:t>Transpordiamet</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sidR="009D443F">
        <w:rPr>
          <w:rFonts w:ascii="Times New Roman" w:hAnsi="Times New Roman" w:cs="Times New Roman"/>
          <w:noProof/>
          <w:sz w:val="24"/>
          <w:szCs w:val="24"/>
        </w:rPr>
        <w:t xml:space="preserve">AS </w:t>
      </w:r>
      <w:r>
        <w:rPr>
          <w:rFonts w:ascii="Times New Roman" w:hAnsi="Times New Roman" w:cs="Times New Roman"/>
          <w:noProof/>
          <w:sz w:val="24"/>
          <w:szCs w:val="24"/>
        </w:rPr>
        <w:t>Trev-2 Grupp</w:t>
      </w:r>
    </w:p>
    <w:p w14:paraId="55EFB281" w14:textId="77777777" w:rsidR="00F6219C" w:rsidRPr="006C2159" w:rsidRDefault="00F6219C" w:rsidP="002207CC">
      <w:pPr>
        <w:spacing w:after="160" w:line="259" w:lineRule="auto"/>
        <w:rPr>
          <w:noProof/>
        </w:rPr>
      </w:pPr>
    </w:p>
    <w:sectPr w:rsidR="00F6219C" w:rsidRPr="006C215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A5607" w14:textId="77777777" w:rsidR="007E6403" w:rsidRDefault="007E6403" w:rsidP="009673D1">
      <w:pPr>
        <w:spacing w:after="0" w:line="240" w:lineRule="auto"/>
      </w:pPr>
      <w:r>
        <w:separator/>
      </w:r>
    </w:p>
  </w:endnote>
  <w:endnote w:type="continuationSeparator" w:id="0">
    <w:p w14:paraId="545EB999" w14:textId="77777777" w:rsidR="007E6403" w:rsidRDefault="007E6403" w:rsidP="00967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E8F32" w14:textId="77777777" w:rsidR="007E6403" w:rsidRDefault="007E6403" w:rsidP="009673D1">
      <w:pPr>
        <w:spacing w:after="0" w:line="240" w:lineRule="auto"/>
      </w:pPr>
      <w:r>
        <w:separator/>
      </w:r>
    </w:p>
  </w:footnote>
  <w:footnote w:type="continuationSeparator" w:id="0">
    <w:p w14:paraId="38FD6166" w14:textId="77777777" w:rsidR="007E6403" w:rsidRDefault="007E6403" w:rsidP="009673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F0A8C"/>
    <w:multiLevelType w:val="multilevel"/>
    <w:tmpl w:val="CD50253C"/>
    <w:lvl w:ilvl="0">
      <w:start w:val="1"/>
      <w:numFmt w:val="decimal"/>
      <w:pStyle w:val="Pealkiri1"/>
      <w:lvlText w:val="%1"/>
      <w:lvlJc w:val="left"/>
      <w:pPr>
        <w:ind w:left="432" w:hanging="432"/>
      </w:pPr>
      <w:rPr>
        <w:rFonts w:hint="default"/>
      </w:rPr>
    </w:lvl>
    <w:lvl w:ilvl="1">
      <w:start w:val="1"/>
      <w:numFmt w:val="decimal"/>
      <w:pStyle w:val="Pealkiri2"/>
      <w:lvlText w:val="%1.%2"/>
      <w:lvlJc w:val="left"/>
      <w:pPr>
        <w:ind w:left="576" w:hanging="576"/>
      </w:pPr>
      <w:rPr>
        <w:rFonts w:hint="default"/>
      </w:rPr>
    </w:lvl>
    <w:lvl w:ilvl="2">
      <w:start w:val="1"/>
      <w:numFmt w:val="decimal"/>
      <w:pStyle w:val="Pealkiri3"/>
      <w:lvlText w:val="%1.%2.%3"/>
      <w:lvlJc w:val="left"/>
      <w:pPr>
        <w:ind w:left="720" w:hanging="720"/>
      </w:pPr>
      <w:rPr>
        <w:rFonts w:hint="default"/>
      </w:rPr>
    </w:lvl>
    <w:lvl w:ilvl="3">
      <w:start w:val="1"/>
      <w:numFmt w:val="decimal"/>
      <w:pStyle w:val="Pealkiri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Pealkiri6"/>
      <w:lvlText w:val="%1.%2.%3.%4.%5.%6"/>
      <w:lvlJc w:val="left"/>
      <w:pPr>
        <w:ind w:left="1152" w:hanging="1152"/>
      </w:pPr>
      <w:rPr>
        <w:rFonts w:hint="default"/>
      </w:rPr>
    </w:lvl>
    <w:lvl w:ilvl="6">
      <w:start w:val="1"/>
      <w:numFmt w:val="decimal"/>
      <w:pStyle w:val="Pealkiri7"/>
      <w:lvlText w:val="%1.%2.%3.%4.%5.%6.%7"/>
      <w:lvlJc w:val="left"/>
      <w:pPr>
        <w:ind w:left="1296" w:hanging="1296"/>
      </w:pPr>
      <w:rPr>
        <w:rFonts w:hint="default"/>
      </w:rPr>
    </w:lvl>
    <w:lvl w:ilvl="7">
      <w:start w:val="1"/>
      <w:numFmt w:val="decimal"/>
      <w:pStyle w:val="Pealkiri8"/>
      <w:lvlText w:val="%1.%2.%3.%4.%5.%6.%7.%8"/>
      <w:lvlJc w:val="left"/>
      <w:pPr>
        <w:ind w:left="1440" w:hanging="1440"/>
      </w:pPr>
      <w:rPr>
        <w:rFonts w:hint="default"/>
      </w:rPr>
    </w:lvl>
    <w:lvl w:ilvl="8">
      <w:start w:val="1"/>
      <w:numFmt w:val="decimal"/>
      <w:pStyle w:val="Pealkiri9"/>
      <w:lvlText w:val="%1.%2.%3.%4.%5.%6.%7.%8.%9"/>
      <w:lvlJc w:val="left"/>
      <w:pPr>
        <w:ind w:left="1584" w:hanging="1584"/>
      </w:pPr>
      <w:rPr>
        <w:rFonts w:hint="default"/>
      </w:rPr>
    </w:lvl>
  </w:abstractNum>
  <w:abstractNum w:abstractNumId="1" w15:restartNumberingAfterBreak="0">
    <w:nsid w:val="422B2310"/>
    <w:multiLevelType w:val="multilevel"/>
    <w:tmpl w:val="ED44F1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3955341">
    <w:abstractNumId w:val="0"/>
  </w:num>
  <w:num w:numId="2" w16cid:durableId="861283441">
    <w:abstractNumId w:val="1"/>
  </w:num>
  <w:num w:numId="3" w16cid:durableId="1406803156">
    <w:abstractNumId w:val="0"/>
  </w:num>
  <w:num w:numId="4" w16cid:durableId="1056318603">
    <w:abstractNumId w:val="0"/>
  </w:num>
  <w:num w:numId="5" w16cid:durableId="178005896">
    <w:abstractNumId w:val="0"/>
  </w:num>
  <w:num w:numId="6" w16cid:durableId="430320630">
    <w:abstractNumId w:val="0"/>
  </w:num>
  <w:num w:numId="7" w16cid:durableId="824398044">
    <w:abstractNumId w:val="0"/>
  </w:num>
  <w:num w:numId="8" w16cid:durableId="1154686390">
    <w:abstractNumId w:val="0"/>
  </w:num>
  <w:num w:numId="9" w16cid:durableId="963774985">
    <w:abstractNumId w:val="0"/>
  </w:num>
  <w:num w:numId="10" w16cid:durableId="1990011526">
    <w:abstractNumId w:val="0"/>
  </w:num>
  <w:num w:numId="11" w16cid:durableId="1008757296">
    <w:abstractNumId w:val="0"/>
  </w:num>
  <w:num w:numId="12" w16cid:durableId="1037046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5D0"/>
    <w:rsid w:val="000D7E6E"/>
    <w:rsid w:val="001202F5"/>
    <w:rsid w:val="0013397C"/>
    <w:rsid w:val="00176451"/>
    <w:rsid w:val="002207CC"/>
    <w:rsid w:val="002B5BCB"/>
    <w:rsid w:val="002C5E9F"/>
    <w:rsid w:val="00306CB6"/>
    <w:rsid w:val="00396417"/>
    <w:rsid w:val="003E3E41"/>
    <w:rsid w:val="003F3349"/>
    <w:rsid w:val="004432A5"/>
    <w:rsid w:val="004763D6"/>
    <w:rsid w:val="00565944"/>
    <w:rsid w:val="00635B44"/>
    <w:rsid w:val="006C2159"/>
    <w:rsid w:val="007A2110"/>
    <w:rsid w:val="007B4062"/>
    <w:rsid w:val="007E6403"/>
    <w:rsid w:val="008719CA"/>
    <w:rsid w:val="009673D1"/>
    <w:rsid w:val="009B1760"/>
    <w:rsid w:val="009C4E3C"/>
    <w:rsid w:val="009D443F"/>
    <w:rsid w:val="009F188B"/>
    <w:rsid w:val="00A435D0"/>
    <w:rsid w:val="00A923B4"/>
    <w:rsid w:val="00B41456"/>
    <w:rsid w:val="00B425AF"/>
    <w:rsid w:val="00C8458B"/>
    <w:rsid w:val="00C95708"/>
    <w:rsid w:val="00CD1319"/>
    <w:rsid w:val="00D30964"/>
    <w:rsid w:val="00D62847"/>
    <w:rsid w:val="00DC2718"/>
    <w:rsid w:val="00DE3EF4"/>
    <w:rsid w:val="00E47520"/>
    <w:rsid w:val="00EC5451"/>
    <w:rsid w:val="00F6219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2B5B3"/>
  <w15:chartTrackingRefBased/>
  <w15:docId w15:val="{AFE2AE01-365B-42CF-AC3D-FA9A3B949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6C2159"/>
    <w:pPr>
      <w:spacing w:after="200" w:line="276" w:lineRule="auto"/>
    </w:pPr>
  </w:style>
  <w:style w:type="paragraph" w:styleId="Pealkiri1">
    <w:name w:val="heading 1"/>
    <w:basedOn w:val="Normaallaad"/>
    <w:next w:val="Normaallaad"/>
    <w:link w:val="Pealkiri1Mrk"/>
    <w:qFormat/>
    <w:rsid w:val="00EC5451"/>
    <w:pPr>
      <w:keepNext/>
      <w:pageBreakBefore/>
      <w:numPr>
        <w:numId w:val="12"/>
      </w:numPr>
      <w:spacing w:after="280" w:line="360" w:lineRule="auto"/>
      <w:outlineLvl w:val="0"/>
    </w:pPr>
    <w:rPr>
      <w:rFonts w:eastAsia="Calibri" w:cstheme="minorHAnsi"/>
      <w:b/>
      <w:bCs/>
      <w:kern w:val="32"/>
      <w:sz w:val="32"/>
      <w:szCs w:val="32"/>
      <w:lang w:val="en-US"/>
    </w:rPr>
  </w:style>
  <w:style w:type="paragraph" w:styleId="Pealkiri2">
    <w:name w:val="heading 2"/>
    <w:basedOn w:val="Normaallaad"/>
    <w:next w:val="Kehatekst"/>
    <w:link w:val="Pealkiri2Mrk"/>
    <w:qFormat/>
    <w:rsid w:val="00EC5451"/>
    <w:pPr>
      <w:numPr>
        <w:ilvl w:val="1"/>
        <w:numId w:val="12"/>
      </w:numPr>
      <w:spacing w:after="160" w:line="360" w:lineRule="auto"/>
      <w:jc w:val="both"/>
      <w:outlineLvl w:val="1"/>
    </w:pPr>
    <w:rPr>
      <w:rFonts w:ascii="Calibri" w:eastAsia="Calibri" w:hAnsi="Calibri" w:cs="Times New Roman"/>
      <w:b/>
      <w:sz w:val="32"/>
      <w:szCs w:val="32"/>
      <w:lang w:val="en-GB"/>
    </w:rPr>
  </w:style>
  <w:style w:type="paragraph" w:styleId="Pealkiri3">
    <w:name w:val="heading 3"/>
    <w:basedOn w:val="Normaallaad"/>
    <w:next w:val="Kehatekst"/>
    <w:link w:val="Pealkiri3Mrk"/>
    <w:qFormat/>
    <w:rsid w:val="00EC5451"/>
    <w:pPr>
      <w:numPr>
        <w:ilvl w:val="2"/>
        <w:numId w:val="12"/>
      </w:numPr>
      <w:spacing w:after="160" w:line="360" w:lineRule="auto"/>
      <w:jc w:val="both"/>
      <w:outlineLvl w:val="2"/>
    </w:pPr>
    <w:rPr>
      <w:rFonts w:eastAsia="Calibri"/>
      <w:b/>
      <w:sz w:val="28"/>
      <w:szCs w:val="28"/>
      <w:lang w:val="en-GB"/>
    </w:rPr>
  </w:style>
  <w:style w:type="paragraph" w:styleId="Pealkiri4">
    <w:name w:val="heading 4"/>
    <w:basedOn w:val="Normaallaad"/>
    <w:next w:val="Kehatekst"/>
    <w:link w:val="Pealkiri4Mrk"/>
    <w:qFormat/>
    <w:rsid w:val="00EC5451"/>
    <w:pPr>
      <w:keepNext/>
      <w:numPr>
        <w:ilvl w:val="3"/>
        <w:numId w:val="12"/>
      </w:numPr>
      <w:spacing w:after="0" w:line="360" w:lineRule="auto"/>
      <w:jc w:val="center"/>
      <w:outlineLvl w:val="3"/>
    </w:pPr>
    <w:rPr>
      <w:rFonts w:ascii="Times New Roman" w:eastAsia="Times New Roman" w:hAnsi="Times New Roman" w:cs="Times New Roman"/>
      <w:b/>
      <w:sz w:val="24"/>
      <w:szCs w:val="20"/>
      <w:lang w:val="en-GB"/>
    </w:rPr>
  </w:style>
  <w:style w:type="paragraph" w:styleId="Pealkiri6">
    <w:name w:val="heading 6"/>
    <w:basedOn w:val="Normaallaad"/>
    <w:next w:val="Normaallaad"/>
    <w:link w:val="Pealkiri6Mrk"/>
    <w:qFormat/>
    <w:rsid w:val="00EC5451"/>
    <w:pPr>
      <w:keepNext/>
      <w:numPr>
        <w:ilvl w:val="5"/>
        <w:numId w:val="12"/>
      </w:numPr>
      <w:spacing w:after="0" w:line="240" w:lineRule="auto"/>
      <w:jc w:val="center"/>
      <w:outlineLvl w:val="5"/>
    </w:pPr>
    <w:rPr>
      <w:rFonts w:ascii="Times New Roman" w:eastAsia="Times New Roman" w:hAnsi="Times New Roman" w:cs="Times New Roman"/>
      <w:b/>
      <w:sz w:val="24"/>
      <w:szCs w:val="20"/>
      <w:lang w:val="en-GB"/>
    </w:rPr>
  </w:style>
  <w:style w:type="paragraph" w:styleId="Pealkiri7">
    <w:name w:val="heading 7"/>
    <w:basedOn w:val="Normaallaad"/>
    <w:next w:val="Normaallaad"/>
    <w:link w:val="Pealkiri7Mrk"/>
    <w:qFormat/>
    <w:rsid w:val="00EC5451"/>
    <w:pPr>
      <w:keepNext/>
      <w:numPr>
        <w:ilvl w:val="6"/>
        <w:numId w:val="12"/>
      </w:numPr>
      <w:spacing w:after="0" w:line="240" w:lineRule="auto"/>
      <w:jc w:val="center"/>
      <w:outlineLvl w:val="6"/>
    </w:pPr>
    <w:rPr>
      <w:rFonts w:ascii="Times New Roman" w:eastAsia="Times New Roman" w:hAnsi="Times New Roman" w:cs="Times New Roman"/>
      <w:b/>
      <w:sz w:val="24"/>
      <w:szCs w:val="20"/>
      <w:lang w:val="en-US"/>
    </w:rPr>
  </w:style>
  <w:style w:type="paragraph" w:styleId="Pealkiri8">
    <w:name w:val="heading 8"/>
    <w:basedOn w:val="Normaallaad"/>
    <w:next w:val="Normaallaad"/>
    <w:link w:val="Pealkiri8Mrk"/>
    <w:qFormat/>
    <w:rsid w:val="00EC5451"/>
    <w:pPr>
      <w:keepNext/>
      <w:numPr>
        <w:ilvl w:val="7"/>
        <w:numId w:val="12"/>
      </w:numPr>
      <w:spacing w:after="0" w:line="240" w:lineRule="auto"/>
      <w:outlineLvl w:val="7"/>
    </w:pPr>
    <w:rPr>
      <w:rFonts w:ascii="Times New Roman" w:eastAsia="Times New Roman" w:hAnsi="Times New Roman" w:cs="Times New Roman"/>
      <w:b/>
      <w:i/>
      <w:sz w:val="24"/>
      <w:szCs w:val="20"/>
      <w:lang w:val="en-US"/>
    </w:rPr>
  </w:style>
  <w:style w:type="paragraph" w:styleId="Pealkiri9">
    <w:name w:val="heading 9"/>
    <w:basedOn w:val="Normaallaad"/>
    <w:next w:val="Normaallaad"/>
    <w:link w:val="Pealkiri9Mrk"/>
    <w:unhideWhenUsed/>
    <w:qFormat/>
    <w:rsid w:val="00EC5451"/>
    <w:pPr>
      <w:keepNext/>
      <w:keepLines/>
      <w:numPr>
        <w:ilvl w:val="8"/>
        <w:numId w:val="8"/>
      </w:numPr>
      <w:spacing w:before="40" w:after="0" w:line="240" w:lineRule="auto"/>
      <w:outlineLvl w:val="8"/>
    </w:pPr>
    <w:rPr>
      <w:rFonts w:ascii="Cambria" w:eastAsia="Times New Roman" w:hAnsi="Cambria" w:cs="Times New Roman"/>
      <w:i/>
      <w:iCs/>
      <w:color w:val="272727"/>
      <w:sz w:val="21"/>
      <w:szCs w:val="21"/>
      <w:lang w:val="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basedOn w:val="Liguvaikefont"/>
    <w:link w:val="Pealkiri2"/>
    <w:rsid w:val="00EC5451"/>
    <w:rPr>
      <w:rFonts w:ascii="Calibri" w:eastAsia="Calibri" w:hAnsi="Calibri" w:cs="Times New Roman"/>
      <w:b/>
      <w:sz w:val="32"/>
      <w:szCs w:val="32"/>
      <w:lang w:val="en-GB"/>
    </w:rPr>
  </w:style>
  <w:style w:type="paragraph" w:styleId="Kehatekst">
    <w:name w:val="Body Text"/>
    <w:basedOn w:val="Normaallaad"/>
    <w:link w:val="KehatekstMrk"/>
    <w:uiPriority w:val="99"/>
    <w:semiHidden/>
    <w:unhideWhenUsed/>
    <w:rsid w:val="00306CB6"/>
    <w:pPr>
      <w:spacing w:after="120" w:line="259" w:lineRule="auto"/>
    </w:pPr>
    <w:rPr>
      <w:lang w:val="en-US"/>
    </w:rPr>
  </w:style>
  <w:style w:type="character" w:customStyle="1" w:styleId="KehatekstMrk">
    <w:name w:val="Kehatekst Märk"/>
    <w:basedOn w:val="Liguvaikefont"/>
    <w:link w:val="Kehatekst"/>
    <w:uiPriority w:val="99"/>
    <w:semiHidden/>
    <w:rsid w:val="00306CB6"/>
  </w:style>
  <w:style w:type="character" w:customStyle="1" w:styleId="Pealkiri3Mrk">
    <w:name w:val="Pealkiri 3 Märk"/>
    <w:basedOn w:val="Liguvaikefont"/>
    <w:link w:val="Pealkiri3"/>
    <w:rsid w:val="00EC5451"/>
    <w:rPr>
      <w:rFonts w:eastAsia="Calibri"/>
      <w:b/>
      <w:sz w:val="28"/>
      <w:szCs w:val="28"/>
      <w:lang w:val="en-GB"/>
    </w:rPr>
  </w:style>
  <w:style w:type="character" w:customStyle="1" w:styleId="Pealkiri1Mrk">
    <w:name w:val="Pealkiri 1 Märk"/>
    <w:basedOn w:val="Liguvaikefont"/>
    <w:link w:val="Pealkiri1"/>
    <w:rsid w:val="00EC5451"/>
    <w:rPr>
      <w:rFonts w:eastAsia="Calibri" w:cstheme="minorHAnsi"/>
      <w:b/>
      <w:bCs/>
      <w:kern w:val="32"/>
      <w:sz w:val="32"/>
      <w:szCs w:val="32"/>
    </w:rPr>
  </w:style>
  <w:style w:type="character" w:customStyle="1" w:styleId="Pealkiri4Mrk">
    <w:name w:val="Pealkiri 4 Märk"/>
    <w:basedOn w:val="Liguvaikefont"/>
    <w:link w:val="Pealkiri4"/>
    <w:rsid w:val="00EC5451"/>
    <w:rPr>
      <w:rFonts w:ascii="Times New Roman" w:eastAsia="Times New Roman" w:hAnsi="Times New Roman" w:cs="Times New Roman"/>
      <w:b/>
      <w:sz w:val="24"/>
      <w:szCs w:val="20"/>
      <w:lang w:val="en-GB"/>
    </w:rPr>
  </w:style>
  <w:style w:type="character" w:customStyle="1" w:styleId="Pealkiri6Mrk">
    <w:name w:val="Pealkiri 6 Märk"/>
    <w:basedOn w:val="Liguvaikefont"/>
    <w:link w:val="Pealkiri6"/>
    <w:rsid w:val="00EC5451"/>
    <w:rPr>
      <w:rFonts w:ascii="Times New Roman" w:eastAsia="Times New Roman" w:hAnsi="Times New Roman" w:cs="Times New Roman"/>
      <w:b/>
      <w:sz w:val="24"/>
      <w:szCs w:val="20"/>
      <w:lang w:val="en-GB"/>
    </w:rPr>
  </w:style>
  <w:style w:type="character" w:customStyle="1" w:styleId="Pealkiri7Mrk">
    <w:name w:val="Pealkiri 7 Märk"/>
    <w:basedOn w:val="Liguvaikefont"/>
    <w:link w:val="Pealkiri7"/>
    <w:rsid w:val="00EC5451"/>
    <w:rPr>
      <w:rFonts w:ascii="Times New Roman" w:eastAsia="Times New Roman" w:hAnsi="Times New Roman" w:cs="Times New Roman"/>
      <w:b/>
      <w:sz w:val="24"/>
      <w:szCs w:val="20"/>
    </w:rPr>
  </w:style>
  <w:style w:type="character" w:customStyle="1" w:styleId="Pealkiri8Mrk">
    <w:name w:val="Pealkiri 8 Märk"/>
    <w:basedOn w:val="Liguvaikefont"/>
    <w:link w:val="Pealkiri8"/>
    <w:rsid w:val="00EC5451"/>
    <w:rPr>
      <w:rFonts w:ascii="Times New Roman" w:eastAsia="Times New Roman" w:hAnsi="Times New Roman" w:cs="Times New Roman"/>
      <w:b/>
      <w:i/>
      <w:sz w:val="24"/>
      <w:szCs w:val="20"/>
    </w:rPr>
  </w:style>
  <w:style w:type="character" w:customStyle="1" w:styleId="Pealkiri9Mrk">
    <w:name w:val="Pealkiri 9 Märk"/>
    <w:basedOn w:val="Liguvaikefont"/>
    <w:link w:val="Pealkiri9"/>
    <w:rsid w:val="00EC5451"/>
    <w:rPr>
      <w:rFonts w:ascii="Cambria" w:eastAsia="Times New Roman" w:hAnsi="Cambria" w:cs="Times New Roman"/>
      <w:i/>
      <w:iCs/>
      <w:color w:val="272727"/>
      <w:sz w:val="21"/>
      <w:szCs w:val="21"/>
    </w:rPr>
  </w:style>
  <w:style w:type="paragraph" w:styleId="Kommentaaritekst">
    <w:name w:val="annotation text"/>
    <w:basedOn w:val="Normaallaad"/>
    <w:link w:val="KommentaaritekstMrk"/>
    <w:uiPriority w:val="99"/>
    <w:semiHidden/>
    <w:unhideWhenUsed/>
    <w:rsid w:val="006C2159"/>
    <w:pPr>
      <w:spacing w:after="0" w:line="240" w:lineRule="auto"/>
    </w:pPr>
    <w:rPr>
      <w:rFonts w:ascii="Times" w:eastAsia="Times New Roman" w:hAnsi="Times" w:cs="Times New Roman"/>
      <w:sz w:val="20"/>
      <w:szCs w:val="20"/>
      <w:lang w:val="en-US"/>
    </w:rPr>
  </w:style>
  <w:style w:type="character" w:customStyle="1" w:styleId="KommentaaritekstMrk">
    <w:name w:val="Kommentaari tekst Märk"/>
    <w:basedOn w:val="Liguvaikefont"/>
    <w:link w:val="Kommentaaritekst"/>
    <w:uiPriority w:val="99"/>
    <w:semiHidden/>
    <w:rsid w:val="006C2159"/>
    <w:rPr>
      <w:rFonts w:ascii="Times" w:eastAsia="Times New Roman" w:hAnsi="Times" w:cs="Times New Roman"/>
      <w:sz w:val="20"/>
      <w:szCs w:val="20"/>
      <w:lang w:val="en-US"/>
    </w:rPr>
  </w:style>
  <w:style w:type="paragraph" w:styleId="Pis">
    <w:name w:val="header"/>
    <w:basedOn w:val="Normaallaad"/>
    <w:link w:val="PisMrk"/>
    <w:uiPriority w:val="99"/>
    <w:unhideWhenUsed/>
    <w:rsid w:val="009673D1"/>
    <w:pPr>
      <w:tabs>
        <w:tab w:val="center" w:pos="4536"/>
        <w:tab w:val="right" w:pos="9072"/>
      </w:tabs>
      <w:spacing w:after="0" w:line="240" w:lineRule="auto"/>
    </w:pPr>
  </w:style>
  <w:style w:type="character" w:customStyle="1" w:styleId="PisMrk">
    <w:name w:val="Päis Märk"/>
    <w:basedOn w:val="Liguvaikefont"/>
    <w:link w:val="Pis"/>
    <w:uiPriority w:val="99"/>
    <w:rsid w:val="009673D1"/>
  </w:style>
  <w:style w:type="paragraph" w:styleId="Jalus">
    <w:name w:val="footer"/>
    <w:basedOn w:val="Normaallaad"/>
    <w:link w:val="JalusMrk"/>
    <w:uiPriority w:val="99"/>
    <w:unhideWhenUsed/>
    <w:rsid w:val="009673D1"/>
    <w:pPr>
      <w:tabs>
        <w:tab w:val="center" w:pos="4536"/>
        <w:tab w:val="right" w:pos="9072"/>
      </w:tabs>
      <w:spacing w:after="0" w:line="240" w:lineRule="auto"/>
    </w:pPr>
  </w:style>
  <w:style w:type="character" w:customStyle="1" w:styleId="JalusMrk">
    <w:name w:val="Jalus Märk"/>
    <w:basedOn w:val="Liguvaikefont"/>
    <w:link w:val="Jalus"/>
    <w:uiPriority w:val="99"/>
    <w:rsid w:val="00967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51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B49A9-7928-4327-816C-7EF1AAC00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Mihkel</dc:creator>
  <cp:keywords/>
  <dc:description/>
  <cp:lastModifiedBy>Mihkel Kask</cp:lastModifiedBy>
  <cp:revision>24</cp:revision>
  <dcterms:created xsi:type="dcterms:W3CDTF">2021-08-19T07:57:00Z</dcterms:created>
  <dcterms:modified xsi:type="dcterms:W3CDTF">2023-05-11T10:38:00Z</dcterms:modified>
</cp:coreProperties>
</file>